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E1" w:rsidRPr="002871F1" w:rsidRDefault="00187DE1"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B147C4">
      <w:pPr>
        <w:pStyle w:val="Header"/>
        <w:tabs>
          <w:tab w:val="clear" w:pos="4680"/>
          <w:tab w:val="clear" w:pos="9360"/>
          <w:tab w:val="right" w:pos="9090"/>
        </w:tabs>
        <w:ind w:left="-426" w:right="-189"/>
        <w:jc w:val="both"/>
        <w:rPr>
          <w:rFonts w:asciiTheme="majorHAnsi" w:hAnsiTheme="majorHAnsi"/>
          <w:b/>
          <w:bCs/>
          <w:lang w:val="sr-Latn-BA" w:eastAsia="en-US"/>
        </w:rPr>
      </w:pPr>
    </w:p>
    <w:p w:rsidR="006251A2" w:rsidRPr="002871F1" w:rsidRDefault="006251A2" w:rsidP="006251A2">
      <w:pPr>
        <w:pStyle w:val="BodyText"/>
        <w:spacing w:before="7"/>
        <w:rPr>
          <w:rFonts w:asciiTheme="majorHAnsi" w:hAnsiTheme="majorHAnsi"/>
          <w:sz w:val="33"/>
        </w:rPr>
      </w:pPr>
    </w:p>
    <w:p w:rsidR="006251A2" w:rsidRPr="002871F1" w:rsidRDefault="006251A2" w:rsidP="006251A2">
      <w:pPr>
        <w:ind w:right="3123"/>
        <w:rPr>
          <w:rFonts w:asciiTheme="majorHAnsi" w:hAnsiTheme="majorHAnsi"/>
          <w:b/>
          <w:spacing w:val="-2"/>
          <w:sz w:val="32"/>
        </w:rPr>
      </w:pPr>
    </w:p>
    <w:p w:rsidR="006251A2" w:rsidRPr="002871F1" w:rsidRDefault="006251A2" w:rsidP="006251A2">
      <w:pPr>
        <w:ind w:left="2525" w:right="3123"/>
        <w:jc w:val="center"/>
        <w:rPr>
          <w:rFonts w:asciiTheme="majorHAnsi" w:hAnsiTheme="majorHAnsi"/>
          <w:b/>
          <w:spacing w:val="-2"/>
          <w:sz w:val="32"/>
        </w:rPr>
      </w:pPr>
    </w:p>
    <w:p w:rsidR="006251A2" w:rsidRPr="002871F1" w:rsidRDefault="006251A2" w:rsidP="006251A2">
      <w:pPr>
        <w:ind w:left="2525" w:right="3123"/>
        <w:jc w:val="center"/>
        <w:rPr>
          <w:rFonts w:asciiTheme="majorHAnsi" w:hAnsiTheme="majorHAnsi"/>
          <w:b/>
          <w:spacing w:val="-2"/>
          <w:sz w:val="32"/>
        </w:rPr>
      </w:pPr>
    </w:p>
    <w:p w:rsidR="006251A2" w:rsidRPr="002871F1" w:rsidRDefault="006251A2" w:rsidP="006251A2">
      <w:pPr>
        <w:ind w:left="2525" w:right="3123"/>
        <w:jc w:val="center"/>
        <w:rPr>
          <w:rFonts w:asciiTheme="majorHAnsi" w:hAnsiTheme="majorHAnsi"/>
          <w:b/>
          <w:spacing w:val="-2"/>
          <w:sz w:val="32"/>
        </w:rPr>
      </w:pPr>
    </w:p>
    <w:p w:rsidR="006251A2" w:rsidRPr="002871F1" w:rsidRDefault="006251A2" w:rsidP="006251A2">
      <w:pPr>
        <w:ind w:left="2525" w:right="3123"/>
        <w:jc w:val="center"/>
        <w:rPr>
          <w:rFonts w:asciiTheme="majorHAnsi" w:hAnsiTheme="majorHAnsi"/>
          <w:b/>
          <w:spacing w:val="-2"/>
          <w:sz w:val="32"/>
        </w:rPr>
      </w:pPr>
      <w:r w:rsidRPr="002871F1">
        <w:rPr>
          <w:rFonts w:asciiTheme="majorHAnsi" w:hAnsiTheme="majorHAnsi"/>
          <w:b/>
          <w:spacing w:val="-2"/>
          <w:sz w:val="32"/>
        </w:rPr>
        <w:t>TENDERSKA DOKUMENTACIJA</w:t>
      </w:r>
    </w:p>
    <w:p w:rsidR="006251A2" w:rsidRPr="002871F1" w:rsidRDefault="006251A2" w:rsidP="006251A2">
      <w:pPr>
        <w:ind w:left="2525" w:right="3123"/>
        <w:jc w:val="center"/>
        <w:rPr>
          <w:rFonts w:asciiTheme="majorHAnsi" w:hAnsiTheme="majorHAnsi"/>
          <w:b/>
          <w:spacing w:val="-2"/>
          <w:sz w:val="32"/>
        </w:rPr>
      </w:pPr>
    </w:p>
    <w:p w:rsidR="006251A2" w:rsidRPr="002871F1" w:rsidRDefault="006251A2" w:rsidP="006251A2">
      <w:pPr>
        <w:ind w:left="2525" w:right="3123"/>
        <w:jc w:val="center"/>
        <w:rPr>
          <w:rFonts w:asciiTheme="majorHAnsi" w:hAnsiTheme="majorHAnsi"/>
          <w:b/>
          <w:sz w:val="32"/>
        </w:rPr>
      </w:pPr>
    </w:p>
    <w:p w:rsidR="006251A2" w:rsidRPr="002871F1" w:rsidRDefault="006251A2" w:rsidP="006251A2">
      <w:pPr>
        <w:pBdr>
          <w:top w:val="nil"/>
          <w:left w:val="nil"/>
          <w:bottom w:val="nil"/>
          <w:right w:val="nil"/>
          <w:between w:val="nil"/>
        </w:pBdr>
        <w:spacing w:before="52" w:line="263" w:lineRule="auto"/>
        <w:ind w:left="4" w:firstLine="20"/>
        <w:jc w:val="center"/>
        <w:rPr>
          <w:rFonts w:asciiTheme="majorHAnsi" w:hAnsiTheme="majorHAnsi"/>
          <w:sz w:val="24"/>
          <w:szCs w:val="24"/>
        </w:rPr>
      </w:pPr>
      <w:r w:rsidRPr="002871F1">
        <w:rPr>
          <w:rFonts w:asciiTheme="majorHAnsi" w:hAnsiTheme="majorHAnsi"/>
          <w:sz w:val="24"/>
          <w:szCs w:val="24"/>
        </w:rPr>
        <w:t>Za nabavku radova na uređenju i adaptaciji biciklističke staze Trebinje-Jazina,</w:t>
      </w:r>
      <w:r w:rsidRPr="002871F1">
        <w:rPr>
          <w:rFonts w:asciiTheme="majorHAnsi" w:hAnsiTheme="majorHAnsi"/>
          <w:sz w:val="24"/>
          <w:szCs w:val="24"/>
        </w:rPr>
        <w:br/>
        <w:t xml:space="preserve">u okviru realizacije </w:t>
      </w:r>
      <w:r w:rsidRPr="002871F1">
        <w:rPr>
          <w:rFonts w:asciiTheme="majorHAnsi" w:hAnsiTheme="majorHAnsi"/>
          <w:color w:val="000000"/>
          <w:sz w:val="24"/>
          <w:szCs w:val="24"/>
        </w:rPr>
        <w:t>projekta “</w:t>
      </w:r>
      <w:r w:rsidRPr="002871F1">
        <w:rPr>
          <w:rFonts w:asciiTheme="majorHAnsi" w:hAnsiTheme="majorHAnsi"/>
          <w:sz w:val="24"/>
          <w:szCs w:val="24"/>
        </w:rPr>
        <w:t>ReTRail</w:t>
      </w:r>
      <w:r w:rsidRPr="002871F1">
        <w:rPr>
          <w:rFonts w:asciiTheme="majorHAnsi" w:hAnsiTheme="majorHAnsi"/>
          <w:color w:val="000000"/>
          <w:sz w:val="24"/>
          <w:szCs w:val="24"/>
        </w:rPr>
        <w:t>”</w:t>
      </w:r>
      <w:r w:rsidRPr="002871F1">
        <w:rPr>
          <w:rFonts w:asciiTheme="majorHAnsi" w:hAnsiTheme="majorHAnsi"/>
          <w:sz w:val="24"/>
          <w:szCs w:val="24"/>
        </w:rPr>
        <w:t>.</w:t>
      </w:r>
    </w:p>
    <w:p w:rsidR="006251A2" w:rsidRPr="002871F1" w:rsidRDefault="006251A2" w:rsidP="006251A2">
      <w:pPr>
        <w:pStyle w:val="BodyText"/>
        <w:rPr>
          <w:rFonts w:asciiTheme="majorHAnsi" w:hAnsiTheme="majorHAnsi"/>
          <w:sz w:val="28"/>
        </w:rPr>
      </w:pPr>
    </w:p>
    <w:p w:rsidR="006251A2" w:rsidRPr="002871F1" w:rsidRDefault="006251A2" w:rsidP="006251A2">
      <w:pPr>
        <w:pStyle w:val="BodyText"/>
        <w:rPr>
          <w:rFonts w:asciiTheme="majorHAnsi" w:hAnsiTheme="majorHAnsi"/>
          <w:sz w:val="28"/>
        </w:rPr>
      </w:pPr>
    </w:p>
    <w:p w:rsidR="006251A2" w:rsidRPr="002871F1" w:rsidRDefault="006251A2" w:rsidP="006251A2">
      <w:pPr>
        <w:pStyle w:val="BodyText"/>
        <w:rPr>
          <w:rFonts w:asciiTheme="majorHAnsi" w:hAnsiTheme="majorHAnsi"/>
          <w:sz w:val="28"/>
        </w:rPr>
      </w:pPr>
    </w:p>
    <w:p w:rsidR="006251A2" w:rsidRPr="002871F1" w:rsidRDefault="006251A2" w:rsidP="006251A2">
      <w:pPr>
        <w:pStyle w:val="BodyText"/>
        <w:rPr>
          <w:rFonts w:asciiTheme="majorHAnsi" w:hAnsiTheme="majorHAnsi"/>
          <w:sz w:val="28"/>
        </w:rPr>
      </w:pPr>
    </w:p>
    <w:p w:rsidR="006251A2" w:rsidRPr="002871F1" w:rsidRDefault="006251A2" w:rsidP="006251A2">
      <w:pPr>
        <w:pStyle w:val="BodyText"/>
        <w:rPr>
          <w:rFonts w:asciiTheme="majorHAnsi" w:hAnsiTheme="majorHAnsi"/>
          <w:sz w:val="28"/>
        </w:rPr>
      </w:pPr>
    </w:p>
    <w:p w:rsidR="006251A2" w:rsidRPr="002871F1" w:rsidRDefault="006251A2" w:rsidP="006251A2">
      <w:pPr>
        <w:pStyle w:val="BodyText"/>
        <w:rPr>
          <w:rFonts w:asciiTheme="majorHAnsi" w:hAnsiTheme="majorHAnsi"/>
          <w:sz w:val="28"/>
        </w:rPr>
      </w:pPr>
    </w:p>
    <w:p w:rsidR="006251A2" w:rsidRPr="002871F1" w:rsidRDefault="006251A2" w:rsidP="006251A2">
      <w:pPr>
        <w:pStyle w:val="BodyText"/>
        <w:rPr>
          <w:rFonts w:asciiTheme="majorHAnsi" w:hAnsiTheme="majorHAnsi"/>
          <w:sz w:val="28"/>
        </w:rPr>
      </w:pPr>
    </w:p>
    <w:p w:rsidR="006251A2" w:rsidRPr="002871F1" w:rsidRDefault="006251A2" w:rsidP="006251A2">
      <w:pPr>
        <w:pStyle w:val="BodyText"/>
        <w:rPr>
          <w:rFonts w:asciiTheme="majorHAnsi" w:hAnsiTheme="majorHAnsi"/>
          <w:sz w:val="28"/>
        </w:rPr>
      </w:pPr>
    </w:p>
    <w:p w:rsidR="006251A2" w:rsidRPr="002871F1" w:rsidRDefault="006251A2" w:rsidP="006251A2">
      <w:pPr>
        <w:pStyle w:val="BodyText"/>
        <w:rPr>
          <w:rFonts w:asciiTheme="majorHAnsi" w:hAnsiTheme="majorHAnsi"/>
          <w:sz w:val="28"/>
        </w:rPr>
      </w:pPr>
    </w:p>
    <w:p w:rsidR="006251A2" w:rsidRPr="002871F1" w:rsidRDefault="006251A2" w:rsidP="006251A2">
      <w:pPr>
        <w:pStyle w:val="BodyText"/>
        <w:rPr>
          <w:rFonts w:asciiTheme="majorHAnsi" w:hAnsiTheme="majorHAnsi"/>
          <w:sz w:val="28"/>
        </w:rPr>
      </w:pPr>
    </w:p>
    <w:p w:rsidR="006251A2" w:rsidRPr="002871F1" w:rsidRDefault="006251A2" w:rsidP="006251A2">
      <w:pPr>
        <w:pStyle w:val="BodyText"/>
        <w:rPr>
          <w:rFonts w:asciiTheme="majorHAnsi" w:hAnsiTheme="majorHAnsi"/>
          <w:sz w:val="28"/>
        </w:rPr>
      </w:pPr>
    </w:p>
    <w:p w:rsidR="006251A2" w:rsidRPr="002871F1" w:rsidRDefault="006251A2" w:rsidP="006251A2">
      <w:pPr>
        <w:pStyle w:val="BodyText"/>
        <w:spacing w:before="174"/>
        <w:ind w:left="2522" w:right="3123"/>
        <w:jc w:val="center"/>
        <w:rPr>
          <w:rFonts w:asciiTheme="majorHAnsi" w:hAnsiTheme="majorHAnsi"/>
        </w:rPr>
      </w:pPr>
      <w:r w:rsidRPr="002871F1">
        <w:rPr>
          <w:rFonts w:asciiTheme="majorHAnsi" w:hAnsiTheme="majorHAnsi"/>
        </w:rPr>
        <w:t xml:space="preserve">Trebinje, </w:t>
      </w:r>
      <w:r w:rsidRPr="002871F1">
        <w:rPr>
          <w:rFonts w:asciiTheme="majorHAnsi" w:hAnsiTheme="majorHAnsi"/>
          <w:color w:val="000000" w:themeColor="text1"/>
        </w:rPr>
        <w:t>februar</w:t>
      </w:r>
      <w:r w:rsidRPr="002871F1">
        <w:rPr>
          <w:rFonts w:asciiTheme="majorHAnsi" w:hAnsiTheme="majorHAnsi"/>
        </w:rPr>
        <w:t xml:space="preserve"> 2023.</w:t>
      </w:r>
      <w:r w:rsidRPr="002871F1">
        <w:rPr>
          <w:rFonts w:asciiTheme="majorHAnsi" w:hAnsiTheme="majorHAnsi"/>
          <w:spacing w:val="-2"/>
        </w:rPr>
        <w:t>godine</w:t>
      </w:r>
    </w:p>
    <w:p w:rsidR="006251A2" w:rsidRPr="002871F1" w:rsidRDefault="006251A2" w:rsidP="006251A2">
      <w:pPr>
        <w:rPr>
          <w:rFonts w:asciiTheme="majorHAnsi" w:hAnsiTheme="majorHAnsi"/>
        </w:rPr>
      </w:pPr>
    </w:p>
    <w:p w:rsidR="006251A2" w:rsidRPr="002871F1" w:rsidRDefault="006251A2" w:rsidP="006251A2">
      <w:pPr>
        <w:rPr>
          <w:rFonts w:asciiTheme="majorHAnsi" w:hAnsiTheme="majorHAnsi"/>
        </w:rPr>
      </w:pPr>
    </w:p>
    <w:p w:rsidR="006251A2" w:rsidRDefault="006251A2" w:rsidP="006251A2">
      <w:pPr>
        <w:tabs>
          <w:tab w:val="center" w:pos="5055"/>
        </w:tabs>
        <w:rPr>
          <w:rFonts w:asciiTheme="majorHAnsi" w:hAnsiTheme="majorHAnsi"/>
        </w:rPr>
      </w:pPr>
      <w:r w:rsidRPr="002871F1">
        <w:rPr>
          <w:rFonts w:asciiTheme="majorHAnsi" w:hAnsiTheme="majorHAnsi"/>
        </w:rPr>
        <w:tab/>
      </w:r>
      <w:bookmarkStart w:id="0" w:name="_bookmark0"/>
      <w:bookmarkStart w:id="1" w:name="_bookmark4"/>
      <w:bookmarkEnd w:id="0"/>
      <w:bookmarkEnd w:id="1"/>
    </w:p>
    <w:p w:rsidR="003009AD" w:rsidRPr="002871F1" w:rsidRDefault="003009AD" w:rsidP="006251A2">
      <w:pPr>
        <w:tabs>
          <w:tab w:val="center" w:pos="5055"/>
        </w:tabs>
        <w:rPr>
          <w:rFonts w:asciiTheme="majorHAnsi" w:hAnsiTheme="majorHAnsi"/>
          <w:sz w:val="23"/>
        </w:rPr>
      </w:pPr>
    </w:p>
    <w:p w:rsidR="006251A2" w:rsidRPr="002871F1" w:rsidRDefault="006251A2" w:rsidP="006251A2">
      <w:pPr>
        <w:pStyle w:val="Heading1"/>
        <w:rPr>
          <w:rFonts w:asciiTheme="majorHAnsi" w:hAnsiTheme="majorHAnsi"/>
          <w:lang w:val="sr-Latn-BA"/>
        </w:rPr>
      </w:pPr>
      <w:bookmarkStart w:id="2" w:name="_bookmark5"/>
      <w:bookmarkEnd w:id="2"/>
      <w:r w:rsidRPr="002871F1">
        <w:rPr>
          <w:rFonts w:asciiTheme="majorHAnsi" w:hAnsiTheme="majorHAnsi"/>
          <w:lang w:val="sr-Latn-BA"/>
        </w:rPr>
        <w:t xml:space="preserve">1. </w:t>
      </w:r>
      <w:r w:rsidRPr="002871F1">
        <w:rPr>
          <w:rFonts w:asciiTheme="majorHAnsi" w:hAnsiTheme="majorHAnsi"/>
        </w:rPr>
        <w:t xml:space="preserve">PODACI </w:t>
      </w:r>
      <w:r w:rsidRPr="002871F1">
        <w:rPr>
          <w:rFonts w:asciiTheme="majorHAnsi" w:hAnsiTheme="majorHAnsi"/>
          <w:lang w:val="sr-Latn-BA"/>
        </w:rPr>
        <w:t xml:space="preserve">O POSTUPKU </w:t>
      </w:r>
      <w:r w:rsidRPr="002871F1">
        <w:rPr>
          <w:rFonts w:asciiTheme="majorHAnsi" w:hAnsiTheme="majorHAnsi"/>
        </w:rPr>
        <w:t xml:space="preserve">JAVNE </w:t>
      </w:r>
      <w:r w:rsidRPr="002871F1">
        <w:rPr>
          <w:rFonts w:asciiTheme="majorHAnsi" w:hAnsiTheme="majorHAnsi"/>
          <w:spacing w:val="-2"/>
          <w:lang w:val="sr-Latn-BA"/>
        </w:rPr>
        <w:t>NABAVKE</w:t>
      </w:r>
    </w:p>
    <w:p w:rsidR="006251A2" w:rsidRPr="002871F1" w:rsidRDefault="006251A2" w:rsidP="006251A2">
      <w:pPr>
        <w:pStyle w:val="ListParagraph"/>
        <w:numPr>
          <w:ilvl w:val="1"/>
          <w:numId w:val="4"/>
        </w:numPr>
        <w:tabs>
          <w:tab w:val="clear" w:pos="360"/>
        </w:tabs>
        <w:ind w:left="-142" w:firstLine="0"/>
        <w:rPr>
          <w:rFonts w:asciiTheme="majorHAnsi" w:hAnsiTheme="majorHAnsi"/>
          <w:color w:val="FF0000"/>
          <w:lang w:val="sr-Latn-BA"/>
        </w:rPr>
      </w:pPr>
      <w:bookmarkStart w:id="3" w:name="_bookmark6"/>
      <w:bookmarkEnd w:id="3"/>
      <w:r w:rsidRPr="002871F1">
        <w:rPr>
          <w:rFonts w:asciiTheme="majorHAnsi" w:hAnsiTheme="majorHAnsi"/>
          <w:b/>
          <w:lang w:val="sr-Latn-BA"/>
        </w:rPr>
        <w:t>Vrsta postupka javne nabavke:</w:t>
      </w:r>
      <w:r w:rsidRPr="002871F1">
        <w:rPr>
          <w:rFonts w:asciiTheme="majorHAnsi" w:hAnsiTheme="majorHAnsi"/>
          <w:color w:val="000000" w:themeColor="text1"/>
          <w:lang w:val="sr-Latn-BA"/>
        </w:rPr>
        <w:t>Pravila donatora (GIZ)</w:t>
      </w:r>
    </w:p>
    <w:p w:rsidR="006251A2" w:rsidRPr="002871F1" w:rsidRDefault="006251A2" w:rsidP="006251A2">
      <w:pPr>
        <w:pStyle w:val="Heading3"/>
        <w:numPr>
          <w:ilvl w:val="1"/>
          <w:numId w:val="4"/>
        </w:numPr>
        <w:tabs>
          <w:tab w:val="clear" w:pos="360"/>
        </w:tabs>
        <w:spacing w:before="0"/>
        <w:ind w:left="-284"/>
        <w:rPr>
          <w:rFonts w:asciiTheme="majorHAnsi" w:hAnsiTheme="majorHAnsi"/>
          <w:b w:val="0"/>
          <w:sz w:val="22"/>
          <w:szCs w:val="22"/>
        </w:rPr>
      </w:pPr>
      <w:bookmarkStart w:id="4" w:name="_bookmark7"/>
      <w:bookmarkEnd w:id="4"/>
      <w:r w:rsidRPr="002871F1">
        <w:rPr>
          <w:rFonts w:asciiTheme="majorHAnsi" w:hAnsiTheme="majorHAnsi"/>
          <w:sz w:val="22"/>
          <w:szCs w:val="22"/>
        </w:rPr>
        <w:t>Vrs</w:t>
      </w:r>
      <w:r w:rsidRPr="002871F1">
        <w:rPr>
          <w:rFonts w:asciiTheme="majorHAnsi" w:hAnsiTheme="majorHAnsi"/>
          <w:spacing w:val="-3"/>
          <w:sz w:val="22"/>
          <w:szCs w:val="22"/>
        </w:rPr>
        <w:t xml:space="preserve">ta </w:t>
      </w:r>
      <w:r w:rsidRPr="002871F1">
        <w:rPr>
          <w:rFonts w:asciiTheme="majorHAnsi" w:hAnsiTheme="majorHAnsi"/>
          <w:sz w:val="22"/>
          <w:szCs w:val="22"/>
        </w:rPr>
        <w:t>ugovo</w:t>
      </w:r>
      <w:r w:rsidRPr="002871F1">
        <w:rPr>
          <w:rFonts w:asciiTheme="majorHAnsi" w:hAnsiTheme="majorHAnsi"/>
          <w:spacing w:val="-3"/>
          <w:sz w:val="22"/>
          <w:szCs w:val="22"/>
        </w:rPr>
        <w:t>ra</w:t>
      </w:r>
      <w:r w:rsidRPr="002871F1">
        <w:rPr>
          <w:rFonts w:asciiTheme="majorHAnsi" w:hAnsiTheme="majorHAnsi"/>
          <w:spacing w:val="-4"/>
          <w:sz w:val="22"/>
          <w:szCs w:val="22"/>
        </w:rPr>
        <w:t xml:space="preserve"> o </w:t>
      </w:r>
      <w:r w:rsidRPr="002871F1">
        <w:rPr>
          <w:rFonts w:asciiTheme="majorHAnsi" w:hAnsiTheme="majorHAnsi"/>
          <w:sz w:val="22"/>
          <w:szCs w:val="22"/>
        </w:rPr>
        <w:t>javn</w:t>
      </w:r>
      <w:r w:rsidRPr="002871F1">
        <w:rPr>
          <w:rFonts w:asciiTheme="majorHAnsi" w:hAnsiTheme="majorHAnsi"/>
          <w:spacing w:val="-4"/>
          <w:sz w:val="22"/>
          <w:szCs w:val="22"/>
        </w:rPr>
        <w:t xml:space="preserve">oj </w:t>
      </w:r>
      <w:r w:rsidRPr="002871F1">
        <w:rPr>
          <w:rFonts w:asciiTheme="majorHAnsi" w:hAnsiTheme="majorHAnsi"/>
          <w:sz w:val="22"/>
          <w:szCs w:val="22"/>
        </w:rPr>
        <w:t>nabavc</w:t>
      </w:r>
      <w:r w:rsidRPr="002871F1">
        <w:rPr>
          <w:rFonts w:asciiTheme="majorHAnsi" w:hAnsiTheme="majorHAnsi"/>
          <w:spacing w:val="-3"/>
          <w:sz w:val="22"/>
          <w:szCs w:val="22"/>
        </w:rPr>
        <w:t>i</w:t>
      </w:r>
      <w:r w:rsidRPr="002871F1">
        <w:rPr>
          <w:rFonts w:asciiTheme="majorHAnsi" w:hAnsiTheme="majorHAnsi"/>
          <w:b w:val="0"/>
          <w:spacing w:val="-2"/>
          <w:sz w:val="22"/>
          <w:szCs w:val="22"/>
        </w:rPr>
        <w:t>: Radovi</w:t>
      </w:r>
    </w:p>
    <w:p w:rsidR="006251A2" w:rsidRPr="002871F1" w:rsidRDefault="006251A2" w:rsidP="006251A2">
      <w:pPr>
        <w:pStyle w:val="ListParagraph"/>
        <w:numPr>
          <w:ilvl w:val="1"/>
          <w:numId w:val="4"/>
        </w:numPr>
        <w:tabs>
          <w:tab w:val="clear" w:pos="360"/>
        </w:tabs>
        <w:ind w:left="-284" w:firstLine="0"/>
        <w:rPr>
          <w:rFonts w:asciiTheme="majorHAnsi" w:hAnsiTheme="majorHAnsi"/>
          <w:lang w:val="sr-Latn-BA"/>
        </w:rPr>
      </w:pPr>
      <w:bookmarkStart w:id="5" w:name="_bookmark8"/>
      <w:bookmarkStart w:id="6" w:name="_bookmark9"/>
      <w:bookmarkEnd w:id="5"/>
      <w:bookmarkEnd w:id="6"/>
      <w:r w:rsidRPr="002871F1">
        <w:rPr>
          <w:rFonts w:asciiTheme="majorHAnsi" w:hAnsiTheme="majorHAnsi"/>
          <w:b/>
          <w:lang w:val="sr-Latn-BA"/>
        </w:rPr>
        <w:t>Procijenjena vrijednost nabavke:</w:t>
      </w:r>
      <w:r w:rsidRPr="002871F1">
        <w:rPr>
          <w:rFonts w:asciiTheme="majorHAnsi" w:hAnsiTheme="majorHAnsi" w:cs="Arial"/>
          <w:iCs/>
          <w:lang w:val="sr-Latn-BA"/>
        </w:rPr>
        <w:t xml:space="preserve">42.500,00 EUR ili 83.122,77 KM </w:t>
      </w:r>
      <w:r w:rsidRPr="002871F1">
        <w:rPr>
          <w:rFonts w:asciiTheme="majorHAnsi" w:hAnsiTheme="majorHAnsi"/>
          <w:lang w:val="sr-Latn-BA"/>
        </w:rPr>
        <w:t>bez uračunatog PDV-</w:t>
      </w:r>
      <w:r w:rsidRPr="002871F1">
        <w:rPr>
          <w:rFonts w:asciiTheme="majorHAnsi" w:hAnsiTheme="majorHAnsi"/>
          <w:spacing w:val="-5"/>
          <w:lang w:val="sr-Latn-BA"/>
        </w:rPr>
        <w:t>a.</w:t>
      </w:r>
    </w:p>
    <w:p w:rsidR="006251A2" w:rsidRPr="002871F1" w:rsidRDefault="006251A2" w:rsidP="006251A2">
      <w:pPr>
        <w:pStyle w:val="Heading1"/>
        <w:rPr>
          <w:rFonts w:asciiTheme="majorHAnsi" w:hAnsiTheme="majorHAnsi"/>
          <w:lang w:val="sr-Latn-BA"/>
        </w:rPr>
      </w:pPr>
      <w:bookmarkStart w:id="7" w:name="_bookmark10"/>
      <w:bookmarkEnd w:id="7"/>
      <w:r w:rsidRPr="002871F1">
        <w:rPr>
          <w:rFonts w:asciiTheme="majorHAnsi" w:hAnsiTheme="majorHAnsi"/>
          <w:lang w:val="sr-Latn-BA"/>
        </w:rPr>
        <w:t xml:space="preserve">2. PODACI O PREDMETU </w:t>
      </w:r>
      <w:r w:rsidRPr="002871F1">
        <w:rPr>
          <w:rFonts w:asciiTheme="majorHAnsi" w:hAnsiTheme="majorHAnsi"/>
          <w:spacing w:val="-2"/>
          <w:lang w:val="sr-Latn-BA"/>
        </w:rPr>
        <w:t>NABAVKE</w:t>
      </w:r>
    </w:p>
    <w:p w:rsidR="006251A2" w:rsidRPr="002871F1" w:rsidRDefault="006251A2" w:rsidP="006251A2">
      <w:pPr>
        <w:pStyle w:val="Heading3"/>
        <w:rPr>
          <w:rFonts w:asciiTheme="majorHAnsi" w:hAnsiTheme="majorHAnsi"/>
        </w:rPr>
      </w:pPr>
      <w:bookmarkStart w:id="8" w:name="_bookmark13"/>
      <w:bookmarkEnd w:id="8"/>
      <w:r w:rsidRPr="002871F1">
        <w:rPr>
          <w:rFonts w:asciiTheme="majorHAnsi" w:hAnsiTheme="majorHAnsi"/>
        </w:rPr>
        <w:t xml:space="preserve">Opis predmeta </w:t>
      </w:r>
      <w:r w:rsidRPr="002871F1">
        <w:rPr>
          <w:rFonts w:asciiTheme="majorHAnsi" w:hAnsiTheme="majorHAnsi"/>
          <w:spacing w:val="-2"/>
        </w:rPr>
        <w:t>nabavke</w:t>
      </w:r>
    </w:p>
    <w:p w:rsidR="006251A2" w:rsidRPr="002871F1" w:rsidRDefault="006251A2" w:rsidP="006251A2">
      <w:pPr>
        <w:rPr>
          <w:rFonts w:asciiTheme="majorHAnsi" w:hAnsiTheme="majorHAnsi"/>
          <w:color w:val="000000" w:themeColor="text1"/>
        </w:rPr>
      </w:pPr>
      <w:r w:rsidRPr="002871F1">
        <w:rPr>
          <w:rFonts w:asciiTheme="majorHAnsi" w:hAnsiTheme="majorHAnsi"/>
          <w:color w:val="000000"/>
        </w:rPr>
        <w:t xml:space="preserve">Predmet nabavke su </w:t>
      </w:r>
      <w:r w:rsidRPr="002871F1">
        <w:rPr>
          <w:rFonts w:asciiTheme="majorHAnsi" w:hAnsiTheme="majorHAnsi"/>
        </w:rPr>
        <w:t xml:space="preserve">radovi na uređenju i adaptaciji biciklističke staze Trebinje-Jazina, u dužini od oko 13 km u okviru realizacije </w:t>
      </w:r>
      <w:r w:rsidRPr="002871F1">
        <w:rPr>
          <w:rFonts w:asciiTheme="majorHAnsi" w:hAnsiTheme="majorHAnsi"/>
          <w:color w:val="000000"/>
        </w:rPr>
        <w:t>projekta“</w:t>
      </w:r>
      <w:r w:rsidRPr="002871F1">
        <w:rPr>
          <w:rFonts w:asciiTheme="majorHAnsi" w:hAnsiTheme="majorHAnsi"/>
        </w:rPr>
        <w:t>ReTRail</w:t>
      </w:r>
      <w:r w:rsidRPr="002871F1">
        <w:rPr>
          <w:rFonts w:asciiTheme="majorHAnsi" w:hAnsiTheme="majorHAnsi"/>
          <w:color w:val="000000"/>
        </w:rPr>
        <w:t xml:space="preserve">”. </w:t>
      </w:r>
      <w:r w:rsidRPr="002871F1">
        <w:rPr>
          <w:rFonts w:asciiTheme="majorHAnsi" w:hAnsiTheme="majorHAnsi"/>
        </w:rPr>
        <w:t>Staza prati trasu bivše uskotračne pruge, na relaciji od početka tunela ispod Crkvine, do motela „Jazina“, uzimajući u obzir prekide na određenim tačkama, gdje će staza izlaziti iz okvira te trase</w:t>
      </w:r>
      <w:r w:rsidRPr="002871F1">
        <w:rPr>
          <w:rFonts w:asciiTheme="majorHAnsi" w:hAnsiTheme="majorHAnsi"/>
          <w:color w:val="000000" w:themeColor="text1"/>
        </w:rPr>
        <w:t>(npr. dio oko gradilišta novog mosta – cca 500m) Dio trase je asfaltiran i nije obuhvaćen predmetnim radovima(od željezničkog mosta i dalje – cca 1km).</w:t>
      </w:r>
    </w:p>
    <w:p w:rsidR="006251A2" w:rsidRPr="002871F1" w:rsidRDefault="006251A2" w:rsidP="006251A2">
      <w:pPr>
        <w:pStyle w:val="Heading3"/>
        <w:rPr>
          <w:rFonts w:asciiTheme="majorHAnsi" w:hAnsiTheme="majorHAnsi"/>
        </w:rPr>
      </w:pPr>
      <w:bookmarkStart w:id="9" w:name="_bookmark14"/>
      <w:bookmarkStart w:id="10" w:name="_bookmark15"/>
      <w:bookmarkEnd w:id="9"/>
      <w:bookmarkEnd w:id="10"/>
      <w:r w:rsidRPr="002871F1">
        <w:rPr>
          <w:rFonts w:asciiTheme="majorHAnsi" w:hAnsiTheme="majorHAnsi"/>
        </w:rPr>
        <w:t>Tehničke specifikacije</w:t>
      </w:r>
    </w:p>
    <w:p w:rsidR="006251A2" w:rsidRPr="002871F1" w:rsidRDefault="006251A2" w:rsidP="006251A2">
      <w:pPr>
        <w:rPr>
          <w:rFonts w:asciiTheme="majorHAnsi" w:hAnsiTheme="majorHAnsi"/>
          <w:color w:val="FF0000"/>
        </w:rPr>
      </w:pPr>
      <w:r w:rsidRPr="002871F1">
        <w:rPr>
          <w:rFonts w:asciiTheme="majorHAnsi" w:hAnsiTheme="majorHAnsi"/>
        </w:rPr>
        <w:t>Tehnička specifikacija, količina i kvalitet su detaljno opisani u Prilogu II – Obrazaczacijenuponude, koji čini sastavni i neodvojivi dio ove tenderske dokumentacije. Mapa trase se nalazi u sklopu istog priloga.</w:t>
      </w:r>
    </w:p>
    <w:p w:rsidR="006251A2" w:rsidRPr="002871F1" w:rsidRDefault="006251A2" w:rsidP="006251A2">
      <w:pPr>
        <w:pStyle w:val="Heading3"/>
        <w:rPr>
          <w:rFonts w:asciiTheme="majorHAnsi" w:hAnsiTheme="majorHAnsi"/>
        </w:rPr>
      </w:pPr>
      <w:bookmarkStart w:id="11" w:name="_bookmark16"/>
      <w:bookmarkEnd w:id="11"/>
      <w:r w:rsidRPr="002871F1">
        <w:rPr>
          <w:rFonts w:asciiTheme="majorHAnsi" w:hAnsiTheme="majorHAnsi"/>
        </w:rPr>
        <w:t>Mjesto izvođenja radova</w:t>
      </w:r>
    </w:p>
    <w:p w:rsidR="006251A2" w:rsidRPr="002871F1" w:rsidRDefault="006251A2" w:rsidP="006251A2">
      <w:pPr>
        <w:rPr>
          <w:rFonts w:asciiTheme="majorHAnsi" w:hAnsiTheme="majorHAnsi"/>
        </w:rPr>
      </w:pPr>
      <w:r w:rsidRPr="002871F1">
        <w:rPr>
          <w:rFonts w:asciiTheme="majorHAnsi" w:hAnsiTheme="majorHAnsi"/>
        </w:rPr>
        <w:t>Mjesto izvođenja predmetnih radovaje na teritoriji Grada Trebinja, na lokacijama kako je detaljnije navedeno u prilozima.</w:t>
      </w:r>
    </w:p>
    <w:p w:rsidR="006251A2" w:rsidRPr="002871F1" w:rsidRDefault="006251A2" w:rsidP="006251A2">
      <w:pPr>
        <w:pStyle w:val="Heading3"/>
        <w:rPr>
          <w:rFonts w:asciiTheme="majorHAnsi" w:hAnsiTheme="majorHAnsi"/>
        </w:rPr>
      </w:pPr>
      <w:r w:rsidRPr="002871F1">
        <w:rPr>
          <w:rFonts w:asciiTheme="majorHAnsi" w:hAnsiTheme="majorHAnsi"/>
        </w:rPr>
        <w:t>Rok pružanja</w:t>
      </w:r>
      <w:r w:rsidRPr="002871F1">
        <w:rPr>
          <w:rFonts w:asciiTheme="majorHAnsi" w:hAnsiTheme="majorHAnsi"/>
          <w:spacing w:val="-2"/>
        </w:rPr>
        <w:t xml:space="preserve"> usluga</w:t>
      </w:r>
    </w:p>
    <w:p w:rsidR="006251A2" w:rsidRPr="002871F1" w:rsidRDefault="006251A2" w:rsidP="006251A2">
      <w:pPr>
        <w:pStyle w:val="BodyText"/>
        <w:spacing w:before="242"/>
        <w:ind w:right="56"/>
        <w:rPr>
          <w:rFonts w:asciiTheme="majorHAnsi" w:hAnsiTheme="majorHAnsi"/>
          <w:color w:val="FF0000"/>
          <w:sz w:val="22"/>
          <w:szCs w:val="22"/>
        </w:rPr>
      </w:pPr>
      <w:r w:rsidRPr="002871F1">
        <w:rPr>
          <w:rFonts w:asciiTheme="majorHAnsi" w:hAnsiTheme="majorHAnsi"/>
          <w:sz w:val="22"/>
          <w:szCs w:val="22"/>
        </w:rPr>
        <w:t xml:space="preserve">Rok za završetak radova je 60 dana od dana potpisivanja ugovora. Očekivani datum potpisivanja ugovora je do kraja februara 2023. godine. Očekivani datum završetka radova je </w:t>
      </w:r>
      <w:r w:rsidRPr="002871F1">
        <w:rPr>
          <w:rFonts w:asciiTheme="majorHAnsi" w:hAnsiTheme="majorHAnsi"/>
          <w:b/>
          <w:sz w:val="22"/>
          <w:szCs w:val="22"/>
        </w:rPr>
        <w:t>01.05.2023.</w:t>
      </w:r>
    </w:p>
    <w:p w:rsidR="006251A2" w:rsidRPr="002871F1" w:rsidRDefault="006251A2" w:rsidP="006251A2">
      <w:pPr>
        <w:pStyle w:val="Heading3"/>
        <w:numPr>
          <w:ilvl w:val="1"/>
          <w:numId w:val="4"/>
        </w:numPr>
        <w:tabs>
          <w:tab w:val="left" w:pos="1011"/>
        </w:tabs>
        <w:spacing w:before="253"/>
        <w:ind w:hanging="433"/>
        <w:rPr>
          <w:rFonts w:asciiTheme="majorHAnsi" w:hAnsiTheme="majorHAnsi"/>
        </w:rPr>
      </w:pPr>
      <w:r w:rsidRPr="002871F1">
        <w:rPr>
          <w:rFonts w:asciiTheme="majorHAnsi" w:hAnsiTheme="majorHAnsi"/>
        </w:rPr>
        <w:t xml:space="preserve">Lična </w:t>
      </w:r>
      <w:r w:rsidRPr="002871F1">
        <w:rPr>
          <w:rFonts w:asciiTheme="majorHAnsi" w:hAnsiTheme="majorHAnsi"/>
          <w:spacing w:val="-2"/>
        </w:rPr>
        <w:t>sposobnost</w:t>
      </w:r>
    </w:p>
    <w:p w:rsidR="006251A2" w:rsidRPr="002871F1" w:rsidRDefault="006251A2" w:rsidP="006251A2">
      <w:pPr>
        <w:pStyle w:val="BodyText"/>
        <w:spacing w:before="240" w:after="240"/>
        <w:ind w:left="215"/>
        <w:rPr>
          <w:rFonts w:asciiTheme="majorHAnsi" w:hAnsiTheme="majorHAnsi"/>
        </w:rPr>
      </w:pPr>
      <w:r w:rsidRPr="002871F1">
        <w:rPr>
          <w:rFonts w:asciiTheme="majorHAnsi" w:hAnsiTheme="majorHAnsi"/>
          <w:u w:val="single"/>
        </w:rPr>
        <w:t>Uslovi koje ponuđač mora ispuniti u pogledu lične</w:t>
      </w:r>
      <w:r w:rsidRPr="002871F1">
        <w:rPr>
          <w:rFonts w:asciiTheme="majorHAnsi" w:hAnsiTheme="majorHAnsi"/>
          <w:spacing w:val="-2"/>
          <w:u w:val="single"/>
        </w:rPr>
        <w:t xml:space="preserve"> sposobnosti</w:t>
      </w:r>
    </w:p>
    <w:p w:rsidR="006251A2" w:rsidRPr="002871F1" w:rsidRDefault="006251A2" w:rsidP="006251A2">
      <w:pPr>
        <w:pStyle w:val="BodyText"/>
        <w:spacing w:before="2"/>
        <w:rPr>
          <w:rFonts w:asciiTheme="majorHAnsi" w:hAnsiTheme="majorHAnsi"/>
          <w:sz w:val="22"/>
          <w:szCs w:val="22"/>
        </w:rPr>
      </w:pPr>
      <w:r w:rsidRPr="002871F1">
        <w:rPr>
          <w:rFonts w:asciiTheme="majorHAnsi" w:hAnsiTheme="majorHAnsi"/>
          <w:sz w:val="22"/>
          <w:szCs w:val="22"/>
        </w:rPr>
        <w:t>Ponuđač je dužan u svrhu dokazivanja lične sposobnosti dokazati da</w:t>
      </w:r>
      <w:r w:rsidRPr="002871F1">
        <w:rPr>
          <w:rFonts w:asciiTheme="majorHAnsi" w:hAnsiTheme="majorHAnsi"/>
          <w:spacing w:val="-10"/>
          <w:sz w:val="22"/>
          <w:szCs w:val="22"/>
        </w:rPr>
        <w:t>:</w:t>
      </w:r>
    </w:p>
    <w:p w:rsidR="006251A2" w:rsidRPr="002871F1" w:rsidRDefault="006251A2" w:rsidP="006251A2">
      <w:pPr>
        <w:pStyle w:val="ListParagraph"/>
        <w:numPr>
          <w:ilvl w:val="0"/>
          <w:numId w:val="6"/>
        </w:numPr>
        <w:tabs>
          <w:tab w:val="left" w:pos="574"/>
        </w:tabs>
        <w:ind w:left="426" w:right="812" w:hanging="284"/>
        <w:rPr>
          <w:rFonts w:asciiTheme="majorHAnsi" w:hAnsiTheme="majorHAnsi"/>
          <w:lang w:val="sr-Latn-BA"/>
        </w:rPr>
      </w:pPr>
      <w:r w:rsidRPr="002871F1">
        <w:rPr>
          <w:rFonts w:asciiTheme="majorHAnsi" w:hAnsiTheme="majorHAnsi"/>
          <w:lang w:val="sr-Latn-BA"/>
        </w:rPr>
        <w:t xml:space="preserve"> u krivičnom postupku nije osuđen pravosnažnom presudom za krivična djelaorganizovanog kriminala, korupciju, prevaru ili pranje novca, u skladu sa važećim propisima u Bosni i Hercegovini ili zemlji u kojoj je registrovan;</w:t>
      </w:r>
    </w:p>
    <w:p w:rsidR="006251A2" w:rsidRPr="002871F1" w:rsidRDefault="006251A2" w:rsidP="006251A2">
      <w:pPr>
        <w:pStyle w:val="ListParagraph"/>
        <w:numPr>
          <w:ilvl w:val="0"/>
          <w:numId w:val="6"/>
        </w:numPr>
        <w:tabs>
          <w:tab w:val="left" w:pos="601"/>
        </w:tabs>
        <w:spacing w:before="1"/>
        <w:ind w:left="426" w:right="813" w:hanging="284"/>
        <w:rPr>
          <w:rFonts w:asciiTheme="majorHAnsi" w:hAnsiTheme="majorHAnsi"/>
          <w:lang w:val="sr-Latn-BA"/>
        </w:rPr>
      </w:pPr>
      <w:r w:rsidRPr="002871F1">
        <w:rPr>
          <w:rFonts w:asciiTheme="majorHAnsi" w:hAnsiTheme="majorHAnsi"/>
          <w:lang w:val="sr-Latn-BA"/>
        </w:rPr>
        <w:t xml:space="preserve"> nije pod stečajem ili nije predmet stečajnog postupka, osim u slučaju postojanja važeće odluke o potvrdi stečajnog plana ili je predmet postupka likvidacije, odnosno u postupku je obustavljanja poslovne djelatnosti, u skladu sa važećim propisima u Bosni i Hercegovini ili zemlji u kojoj je registrovan;</w:t>
      </w:r>
    </w:p>
    <w:p w:rsidR="006251A2" w:rsidRPr="002871F1" w:rsidRDefault="006251A2" w:rsidP="006251A2">
      <w:pPr>
        <w:pStyle w:val="ListParagraph"/>
        <w:widowControl/>
        <w:numPr>
          <w:ilvl w:val="0"/>
          <w:numId w:val="6"/>
        </w:numPr>
        <w:tabs>
          <w:tab w:val="left" w:pos="565"/>
        </w:tabs>
        <w:spacing w:before="1"/>
        <w:ind w:left="426" w:right="816" w:hanging="284"/>
        <w:rPr>
          <w:rFonts w:asciiTheme="majorHAnsi" w:hAnsiTheme="majorHAnsi"/>
          <w:lang w:val="sr-Latn-BA"/>
        </w:rPr>
      </w:pPr>
      <w:r w:rsidRPr="002871F1">
        <w:rPr>
          <w:rFonts w:asciiTheme="majorHAnsi" w:hAnsiTheme="majorHAnsi"/>
          <w:lang w:val="sr-Latn-BA"/>
        </w:rPr>
        <w:t xml:space="preserve"> je ispunio obaveze u vezi sa plaćanjem penzijskog i invalidskog osiguranja i zdravstvenog osiguranja, u skladu sa važećim propisima u Bosni i Hercegovini ili propisimazemlje u kojoj je registrovan;</w:t>
      </w:r>
    </w:p>
    <w:p w:rsidR="006251A2" w:rsidRPr="002871F1" w:rsidRDefault="006251A2" w:rsidP="006251A2">
      <w:pPr>
        <w:pStyle w:val="ListParagraph"/>
        <w:numPr>
          <w:ilvl w:val="0"/>
          <w:numId w:val="6"/>
        </w:numPr>
        <w:tabs>
          <w:tab w:val="left" w:pos="534"/>
        </w:tabs>
        <w:ind w:left="426" w:right="819" w:hanging="284"/>
        <w:rPr>
          <w:rFonts w:asciiTheme="majorHAnsi" w:hAnsiTheme="majorHAnsi"/>
          <w:lang w:val="sr-Latn-BA"/>
        </w:rPr>
      </w:pPr>
      <w:r w:rsidRPr="002871F1">
        <w:rPr>
          <w:rFonts w:asciiTheme="majorHAnsi" w:hAnsiTheme="majorHAnsi"/>
          <w:lang w:val="sr-Latn-BA"/>
        </w:rPr>
        <w:lastRenderedPageBreak/>
        <w:t>je ispunio obaveze u vezi sa plaćanjem direktnih i indirektnih poreza, u skladu sa važećim propisima u Bosni i Hercegovini ili zemlji u kojoj je registrovan.</w:t>
      </w:r>
    </w:p>
    <w:p w:rsidR="006251A2" w:rsidRPr="002871F1" w:rsidRDefault="006251A2" w:rsidP="006251A2">
      <w:pPr>
        <w:pStyle w:val="BodyText"/>
        <w:keepNext/>
        <w:spacing w:before="240" w:after="240"/>
        <w:rPr>
          <w:rFonts w:asciiTheme="majorHAnsi" w:hAnsiTheme="majorHAnsi"/>
        </w:rPr>
      </w:pPr>
      <w:r w:rsidRPr="002871F1">
        <w:rPr>
          <w:rFonts w:asciiTheme="majorHAnsi" w:hAnsiTheme="majorHAnsi"/>
          <w:u w:val="single"/>
        </w:rPr>
        <w:t>Dokazi koje ponuđač mora dostaviti u pogledu lične</w:t>
      </w:r>
      <w:r w:rsidRPr="002871F1">
        <w:rPr>
          <w:rFonts w:asciiTheme="majorHAnsi" w:hAnsiTheme="majorHAnsi"/>
          <w:spacing w:val="-2"/>
          <w:u w:val="single"/>
        </w:rPr>
        <w:t xml:space="preserve"> sposobnosti</w:t>
      </w:r>
    </w:p>
    <w:p w:rsidR="006251A2" w:rsidRPr="002871F1" w:rsidRDefault="006251A2" w:rsidP="006251A2">
      <w:pPr>
        <w:pStyle w:val="NoSpacing"/>
        <w:jc w:val="both"/>
        <w:rPr>
          <w:rFonts w:asciiTheme="majorHAnsi" w:hAnsiTheme="majorHAnsi"/>
        </w:rPr>
      </w:pPr>
      <w:r w:rsidRPr="002871F1">
        <w:rPr>
          <w:rFonts w:asciiTheme="majorHAnsi" w:hAnsiTheme="majorHAnsi"/>
        </w:rPr>
        <w:t>U svrhu dokazivanja uslova iz tački 1) do 4) ponuđač je dužan dostaviti popunjenu i ovjerenu izjavu koja je sastavni dio tenderske dokumentacije. Izjava ne smije biti starija od datuma objave obavještenja za predmetnu nabavku.</w:t>
      </w:r>
    </w:p>
    <w:p w:rsidR="006251A2" w:rsidRPr="002871F1" w:rsidRDefault="006251A2" w:rsidP="006251A2">
      <w:pPr>
        <w:rPr>
          <w:rFonts w:asciiTheme="majorHAnsi" w:hAnsiTheme="majorHAnsi"/>
        </w:rPr>
      </w:pPr>
      <w:bookmarkStart w:id="12" w:name="_bookmark11"/>
      <w:bookmarkStart w:id="13" w:name="_bookmark12"/>
      <w:bookmarkEnd w:id="12"/>
      <w:bookmarkEnd w:id="13"/>
    </w:p>
    <w:p w:rsidR="006251A2" w:rsidRPr="002871F1" w:rsidRDefault="006251A2" w:rsidP="006251A2">
      <w:pPr>
        <w:pStyle w:val="Heading3"/>
        <w:tabs>
          <w:tab w:val="left" w:pos="1011"/>
        </w:tabs>
        <w:spacing w:before="1"/>
        <w:rPr>
          <w:rFonts w:asciiTheme="majorHAnsi" w:hAnsiTheme="majorHAnsi"/>
        </w:rPr>
      </w:pPr>
      <w:r w:rsidRPr="002871F1">
        <w:rPr>
          <w:rFonts w:asciiTheme="majorHAnsi" w:hAnsiTheme="majorHAnsi"/>
        </w:rPr>
        <w:t xml:space="preserve">Sposobnost za obavljanje tehničke i profesionalne </w:t>
      </w:r>
      <w:r w:rsidRPr="002871F1">
        <w:rPr>
          <w:rFonts w:asciiTheme="majorHAnsi" w:hAnsiTheme="majorHAnsi"/>
          <w:spacing w:val="-2"/>
        </w:rPr>
        <w:t>djelatnosti:</w:t>
      </w:r>
    </w:p>
    <w:p w:rsidR="006251A2" w:rsidRPr="002871F1" w:rsidRDefault="006251A2" w:rsidP="006251A2">
      <w:pPr>
        <w:pStyle w:val="NoSpacing"/>
        <w:spacing w:before="240" w:after="240"/>
        <w:jc w:val="both"/>
        <w:rPr>
          <w:rFonts w:asciiTheme="majorHAnsi" w:hAnsiTheme="majorHAnsi"/>
          <w:sz w:val="24"/>
          <w:u w:val="single"/>
        </w:rPr>
      </w:pPr>
      <w:r w:rsidRPr="002871F1">
        <w:rPr>
          <w:rFonts w:asciiTheme="majorHAnsi" w:hAnsiTheme="majorHAnsi"/>
          <w:sz w:val="24"/>
          <w:u w:val="single"/>
        </w:rPr>
        <w:t>Uslovi koje ponuđač mora ispuniti u pogledu profesionalne</w:t>
      </w:r>
      <w:r w:rsidRPr="002871F1">
        <w:rPr>
          <w:rFonts w:asciiTheme="majorHAnsi" w:hAnsiTheme="majorHAnsi"/>
          <w:spacing w:val="-2"/>
          <w:sz w:val="24"/>
          <w:u w:val="single"/>
        </w:rPr>
        <w:t xml:space="preserve"> djelatnosti</w:t>
      </w:r>
    </w:p>
    <w:p w:rsidR="006251A2" w:rsidRPr="002871F1" w:rsidRDefault="006251A2" w:rsidP="006251A2">
      <w:pPr>
        <w:pStyle w:val="NoSpacing"/>
        <w:jc w:val="both"/>
        <w:rPr>
          <w:rFonts w:asciiTheme="majorHAnsi" w:hAnsiTheme="majorHAnsi"/>
        </w:rPr>
      </w:pPr>
      <w:r w:rsidRPr="002871F1">
        <w:rPr>
          <w:rFonts w:asciiTheme="majorHAnsi" w:hAnsiTheme="majorHAnsi"/>
        </w:rPr>
        <w:t>U svrhu dokazivanja prava na obavljanje profesionalne djelatnosti ponuđač mora dostaviti dokaz o registraciji u odgovarajućem profesionalnom ili drugom registru u zemlji u kojoj je registrovan ili da obezbijedi posebnu izjavu ili potvrdu nadležnog organa kojom se dokazuje njegovo pravo da obavlja profesionalnu djelatnost, koja je u vezi sa predmetom nabavke.</w:t>
      </w:r>
    </w:p>
    <w:p w:rsidR="006251A2" w:rsidRPr="002871F1" w:rsidRDefault="006251A2" w:rsidP="006251A2">
      <w:pPr>
        <w:pStyle w:val="BodyText"/>
        <w:spacing w:before="240" w:after="240"/>
        <w:rPr>
          <w:rFonts w:asciiTheme="majorHAnsi" w:hAnsiTheme="majorHAnsi"/>
        </w:rPr>
      </w:pPr>
      <w:r w:rsidRPr="002871F1">
        <w:rPr>
          <w:rFonts w:asciiTheme="majorHAnsi" w:hAnsiTheme="majorHAnsi"/>
          <w:u w:val="single"/>
        </w:rPr>
        <w:t>Dokazi koje ponuđač mora dostaviti u pogledu tehničke i profesionalne</w:t>
      </w:r>
      <w:r w:rsidRPr="002871F1">
        <w:rPr>
          <w:rFonts w:asciiTheme="majorHAnsi" w:hAnsiTheme="majorHAnsi"/>
          <w:spacing w:val="-2"/>
          <w:u w:val="single"/>
        </w:rPr>
        <w:t xml:space="preserve"> djelatnosti</w:t>
      </w:r>
    </w:p>
    <w:p w:rsidR="006251A2" w:rsidRPr="002871F1" w:rsidRDefault="006251A2" w:rsidP="006251A2">
      <w:pPr>
        <w:pStyle w:val="ListParagraph"/>
        <w:numPr>
          <w:ilvl w:val="0"/>
          <w:numId w:val="3"/>
        </w:numPr>
        <w:tabs>
          <w:tab w:val="left" w:pos="927"/>
        </w:tabs>
        <w:spacing w:before="242"/>
        <w:ind w:right="812" w:hanging="360"/>
        <w:rPr>
          <w:rFonts w:asciiTheme="majorHAnsi" w:hAnsiTheme="majorHAnsi"/>
          <w:lang w:val="sr-Latn-BA"/>
        </w:rPr>
      </w:pPr>
      <w:r w:rsidRPr="002871F1">
        <w:rPr>
          <w:rFonts w:asciiTheme="majorHAnsi" w:hAnsiTheme="majorHAnsi"/>
          <w:lang w:val="sr-Latn-BA"/>
        </w:rPr>
        <w:t>aktuelni izvod iz sudskog registra ili drugi odgovarajući dokument iz kojeg je vidljivo da je registrovan za obavljanje predmetne djelatnosti,</w:t>
      </w:r>
    </w:p>
    <w:p w:rsidR="006251A2" w:rsidRPr="002871F1" w:rsidRDefault="006251A2" w:rsidP="006251A2">
      <w:pPr>
        <w:pStyle w:val="ListParagraph"/>
        <w:numPr>
          <w:ilvl w:val="0"/>
          <w:numId w:val="3"/>
        </w:numPr>
        <w:tabs>
          <w:tab w:val="left" w:pos="927"/>
        </w:tabs>
        <w:spacing w:line="286" w:lineRule="exact"/>
        <w:ind w:left="926" w:hanging="349"/>
        <w:rPr>
          <w:rFonts w:asciiTheme="majorHAnsi" w:hAnsiTheme="majorHAnsi"/>
          <w:lang w:val="sr-Latn-BA"/>
        </w:rPr>
      </w:pPr>
      <w:r w:rsidRPr="002871F1">
        <w:rPr>
          <w:rFonts w:asciiTheme="majorHAnsi" w:hAnsiTheme="majorHAnsi"/>
          <w:lang w:val="sr-Latn-BA"/>
        </w:rPr>
        <w:t>Poreski identifikacioni broj</w:t>
      </w:r>
      <w:r w:rsidRPr="002871F1">
        <w:rPr>
          <w:rFonts w:asciiTheme="majorHAnsi" w:hAnsiTheme="majorHAnsi"/>
          <w:spacing w:val="-2"/>
          <w:lang w:val="sr-Latn-BA"/>
        </w:rPr>
        <w:t>(JIB/ID).</w:t>
      </w:r>
    </w:p>
    <w:p w:rsidR="006251A2" w:rsidRPr="002871F1" w:rsidRDefault="006251A2" w:rsidP="006251A2">
      <w:pPr>
        <w:pStyle w:val="NoSpacing"/>
        <w:jc w:val="both"/>
        <w:rPr>
          <w:rFonts w:asciiTheme="majorHAnsi" w:hAnsiTheme="majorHAnsi"/>
        </w:rPr>
      </w:pPr>
      <w:r w:rsidRPr="002871F1">
        <w:rPr>
          <w:rFonts w:asciiTheme="majorHAnsi" w:hAnsiTheme="majorHAnsi"/>
        </w:rPr>
        <w:t>Ocjena tehničke i profesionalne sposobnosti ponuđača će se izvršiti na osnovu sljedećih izjava  koje dostave ponuđači:</w:t>
      </w:r>
    </w:p>
    <w:p w:rsidR="006251A2" w:rsidRPr="002871F1" w:rsidRDefault="006251A2" w:rsidP="006251A2">
      <w:pPr>
        <w:pStyle w:val="BodyText"/>
        <w:widowControl w:val="0"/>
        <w:numPr>
          <w:ilvl w:val="0"/>
          <w:numId w:val="5"/>
        </w:numPr>
        <w:autoSpaceDE w:val="0"/>
        <w:autoSpaceDN w:val="0"/>
        <w:spacing w:before="242" w:after="120"/>
        <w:ind w:right="813"/>
        <w:rPr>
          <w:rFonts w:asciiTheme="majorHAnsi" w:hAnsiTheme="majorHAnsi"/>
          <w:b/>
          <w:sz w:val="22"/>
        </w:rPr>
      </w:pPr>
      <w:r w:rsidRPr="002871F1">
        <w:rPr>
          <w:rFonts w:asciiTheme="majorHAnsi" w:hAnsiTheme="majorHAnsi"/>
          <w:b/>
          <w:sz w:val="22"/>
        </w:rPr>
        <w:t>Izjava ponuđača  - reference o uredno izvršenim ugovorima istih ili sličnih kao što je predmet nabavke</w:t>
      </w:r>
    </w:p>
    <w:p w:rsidR="006251A2" w:rsidRPr="002871F1" w:rsidRDefault="006251A2" w:rsidP="006251A2">
      <w:pPr>
        <w:rPr>
          <w:rFonts w:asciiTheme="majorHAnsi" w:hAnsiTheme="majorHAnsi"/>
        </w:rPr>
      </w:pPr>
      <w:r w:rsidRPr="002871F1">
        <w:rPr>
          <w:rFonts w:asciiTheme="majorHAnsi" w:hAnsiTheme="majorHAnsi"/>
        </w:rPr>
        <w:t xml:space="preserve">Ponuđač može, gdje je to odgovarajuće i za određeni ugovor, u ponudi naznačiti da raspolaže kapacitetima drugih subjekata, bez obzira na pravnu prirodu odnosa koji s njima ima. U tom slučaju, mora dokazati ugovornom organu da će na raspolaganju imati potrebne resurse. </w:t>
      </w:r>
    </w:p>
    <w:p w:rsidR="006251A2" w:rsidRPr="002871F1" w:rsidRDefault="006251A2" w:rsidP="006251A2">
      <w:pPr>
        <w:rPr>
          <w:rFonts w:asciiTheme="majorHAnsi" w:hAnsiTheme="majorHAnsi"/>
          <w:spacing w:val="-2"/>
        </w:rPr>
      </w:pPr>
      <w:r w:rsidRPr="002871F1">
        <w:rPr>
          <w:rFonts w:asciiTheme="majorHAnsi" w:hAnsiTheme="majorHAnsi"/>
        </w:rPr>
        <w:t>Dokazi se moraju dostaviti u originalu ili ovjerenoj</w:t>
      </w:r>
      <w:r w:rsidRPr="002871F1">
        <w:rPr>
          <w:rFonts w:asciiTheme="majorHAnsi" w:hAnsiTheme="majorHAnsi"/>
          <w:spacing w:val="-2"/>
        </w:rPr>
        <w:t xml:space="preserve"> fotokopiji.</w:t>
      </w:r>
    </w:p>
    <w:p w:rsidR="006251A2" w:rsidRPr="002871F1" w:rsidRDefault="006251A2" w:rsidP="006251A2">
      <w:pPr>
        <w:pStyle w:val="Heading1"/>
        <w:rPr>
          <w:rFonts w:asciiTheme="majorHAnsi" w:hAnsiTheme="majorHAnsi"/>
          <w:lang w:val="sr-Latn-BA"/>
        </w:rPr>
      </w:pPr>
      <w:r w:rsidRPr="002871F1">
        <w:rPr>
          <w:rFonts w:asciiTheme="majorHAnsi" w:hAnsiTheme="majorHAnsi"/>
          <w:lang w:val="sr-Latn-BA"/>
        </w:rPr>
        <w:t xml:space="preserve">3. PODACI O </w:t>
      </w:r>
      <w:r w:rsidRPr="002871F1">
        <w:rPr>
          <w:rFonts w:asciiTheme="majorHAnsi" w:hAnsiTheme="majorHAnsi"/>
        </w:rPr>
        <w:t>PONUDI</w:t>
      </w:r>
    </w:p>
    <w:p w:rsidR="006251A2" w:rsidRPr="002871F1" w:rsidRDefault="006251A2" w:rsidP="006251A2">
      <w:pPr>
        <w:pStyle w:val="Heading3"/>
        <w:numPr>
          <w:ilvl w:val="1"/>
          <w:numId w:val="7"/>
        </w:numPr>
        <w:tabs>
          <w:tab w:val="left" w:pos="426"/>
        </w:tabs>
        <w:spacing w:before="252"/>
        <w:ind w:left="426"/>
        <w:rPr>
          <w:rFonts w:asciiTheme="majorHAnsi" w:hAnsiTheme="majorHAnsi"/>
        </w:rPr>
      </w:pPr>
      <w:r w:rsidRPr="002871F1">
        <w:rPr>
          <w:rFonts w:asciiTheme="majorHAnsi" w:hAnsiTheme="majorHAnsi"/>
        </w:rPr>
        <w:t xml:space="preserve">Sadržaj ponude i način pripreme </w:t>
      </w:r>
      <w:r w:rsidRPr="002871F1">
        <w:rPr>
          <w:rFonts w:asciiTheme="majorHAnsi" w:hAnsiTheme="majorHAnsi"/>
          <w:spacing w:val="-2"/>
        </w:rPr>
        <w:t>ponude</w:t>
      </w:r>
    </w:p>
    <w:p w:rsidR="006251A2" w:rsidRPr="002871F1" w:rsidRDefault="006251A2" w:rsidP="006251A2">
      <w:pPr>
        <w:rPr>
          <w:rFonts w:asciiTheme="majorHAnsi" w:hAnsiTheme="majorHAnsi"/>
        </w:rPr>
      </w:pPr>
      <w:r w:rsidRPr="002871F1">
        <w:rPr>
          <w:rFonts w:asciiTheme="majorHAnsi" w:hAnsiTheme="majorHAnsi"/>
        </w:rPr>
        <w:t xml:space="preserve">Ponuda se zajedno sa pripadajućom dokumentacijom priprema na jednom od službenih jezika u BiH. Pri pripremi ponude ponuđač se mora pridržavati zahtjeva i uslova iz tenderske dokumentacije. </w:t>
      </w:r>
    </w:p>
    <w:p w:rsidR="006251A2" w:rsidRPr="002871F1" w:rsidRDefault="006251A2" w:rsidP="006251A2">
      <w:pPr>
        <w:pStyle w:val="BodyText"/>
        <w:spacing w:line="281" w:lineRule="exact"/>
        <w:rPr>
          <w:rFonts w:asciiTheme="majorHAnsi" w:hAnsiTheme="majorHAnsi"/>
          <w:spacing w:val="-2"/>
          <w:sz w:val="22"/>
          <w:szCs w:val="22"/>
        </w:rPr>
      </w:pPr>
      <w:r w:rsidRPr="002871F1">
        <w:rPr>
          <w:rFonts w:asciiTheme="majorHAnsi" w:hAnsiTheme="majorHAnsi"/>
          <w:sz w:val="22"/>
          <w:szCs w:val="22"/>
        </w:rPr>
        <w:t>Ponuda mora sadržavati</w:t>
      </w:r>
      <w:r w:rsidRPr="002871F1">
        <w:rPr>
          <w:rFonts w:asciiTheme="majorHAnsi" w:hAnsiTheme="majorHAnsi"/>
          <w:spacing w:val="-2"/>
          <w:sz w:val="22"/>
          <w:szCs w:val="22"/>
        </w:rPr>
        <w:t xml:space="preserve"> najmanje:</w:t>
      </w:r>
    </w:p>
    <w:p w:rsidR="006251A2" w:rsidRPr="002871F1" w:rsidRDefault="006251A2" w:rsidP="006251A2">
      <w:pPr>
        <w:pStyle w:val="ListParagraph"/>
        <w:numPr>
          <w:ilvl w:val="0"/>
          <w:numId w:val="2"/>
        </w:numPr>
        <w:tabs>
          <w:tab w:val="left" w:pos="567"/>
        </w:tabs>
        <w:spacing w:line="281" w:lineRule="exact"/>
        <w:ind w:left="567" w:hanging="283"/>
        <w:rPr>
          <w:rFonts w:asciiTheme="majorHAnsi" w:hAnsiTheme="majorHAnsi"/>
          <w:lang w:val="sr-Latn-BA"/>
        </w:rPr>
      </w:pPr>
      <w:r w:rsidRPr="002871F1">
        <w:rPr>
          <w:rFonts w:asciiTheme="majorHAnsi" w:hAnsiTheme="majorHAnsi"/>
          <w:lang w:val="sr-Latn-BA"/>
        </w:rPr>
        <w:t>Obrazac ponude –Prilog I</w:t>
      </w:r>
    </w:p>
    <w:p w:rsidR="006251A2" w:rsidRPr="002871F1" w:rsidRDefault="006251A2" w:rsidP="006251A2">
      <w:pPr>
        <w:pStyle w:val="ListParagraph"/>
        <w:numPr>
          <w:ilvl w:val="0"/>
          <w:numId w:val="2"/>
        </w:numPr>
        <w:tabs>
          <w:tab w:val="left" w:pos="567"/>
        </w:tabs>
        <w:spacing w:line="281" w:lineRule="exact"/>
        <w:ind w:left="567" w:hanging="283"/>
        <w:rPr>
          <w:rFonts w:asciiTheme="majorHAnsi" w:hAnsiTheme="majorHAnsi"/>
          <w:lang w:val="sr-Latn-BA"/>
        </w:rPr>
      </w:pPr>
      <w:r w:rsidRPr="002871F1">
        <w:rPr>
          <w:rFonts w:asciiTheme="majorHAnsi" w:hAnsiTheme="majorHAnsi"/>
          <w:lang w:val="sr-Latn-BA"/>
        </w:rPr>
        <w:t>Obrazac za cijenu ponude –Prilog</w:t>
      </w:r>
      <w:r w:rsidRPr="002871F1">
        <w:rPr>
          <w:rFonts w:asciiTheme="majorHAnsi" w:hAnsiTheme="majorHAnsi"/>
          <w:spacing w:val="-5"/>
          <w:lang w:val="sr-Latn-BA"/>
        </w:rPr>
        <w:t>II;</w:t>
      </w:r>
    </w:p>
    <w:p w:rsidR="006251A2" w:rsidRPr="002871F1" w:rsidRDefault="006251A2" w:rsidP="006251A2">
      <w:pPr>
        <w:pStyle w:val="ListParagraph"/>
        <w:numPr>
          <w:ilvl w:val="0"/>
          <w:numId w:val="2"/>
        </w:numPr>
        <w:tabs>
          <w:tab w:val="left" w:pos="567"/>
        </w:tabs>
        <w:spacing w:before="2"/>
        <w:ind w:left="567" w:right="821" w:hanging="283"/>
        <w:rPr>
          <w:rFonts w:asciiTheme="majorHAnsi" w:hAnsiTheme="majorHAnsi"/>
          <w:lang w:val="sr-Latn-BA"/>
        </w:rPr>
      </w:pPr>
      <w:r w:rsidRPr="002871F1">
        <w:rPr>
          <w:rFonts w:asciiTheme="majorHAnsi" w:hAnsiTheme="majorHAnsi"/>
          <w:lang w:val="sr-Latn-BA"/>
        </w:rPr>
        <w:t>Izjava o ispunjenosti uslova– Prilog III;</w:t>
      </w:r>
    </w:p>
    <w:p w:rsidR="006251A2" w:rsidRPr="002871F1" w:rsidRDefault="006251A2" w:rsidP="006251A2">
      <w:pPr>
        <w:pStyle w:val="ListParagraph"/>
        <w:numPr>
          <w:ilvl w:val="0"/>
          <w:numId w:val="2"/>
        </w:numPr>
        <w:tabs>
          <w:tab w:val="left" w:pos="567"/>
        </w:tabs>
        <w:ind w:left="567" w:right="815" w:hanging="283"/>
        <w:rPr>
          <w:rFonts w:asciiTheme="majorHAnsi" w:hAnsiTheme="majorHAnsi"/>
          <w:lang w:val="sr-Latn-BA"/>
        </w:rPr>
      </w:pPr>
      <w:r w:rsidRPr="002871F1">
        <w:rPr>
          <w:rFonts w:asciiTheme="majorHAnsi" w:hAnsiTheme="majorHAnsi"/>
          <w:lang w:val="sr-Latn-BA"/>
        </w:rPr>
        <w:t>Aktuelni izvod iz sudskog registra ili drugi odgovarajući dokument iz kojeg je vidljivo da je registrovan za obavljanje predmetne djelatnosti;</w:t>
      </w:r>
    </w:p>
    <w:p w:rsidR="006251A2" w:rsidRPr="002871F1" w:rsidRDefault="006251A2" w:rsidP="006251A2">
      <w:pPr>
        <w:pStyle w:val="ListParagraph"/>
        <w:numPr>
          <w:ilvl w:val="0"/>
          <w:numId w:val="2"/>
        </w:numPr>
        <w:tabs>
          <w:tab w:val="left" w:pos="567"/>
        </w:tabs>
        <w:spacing w:before="1" w:line="281" w:lineRule="exact"/>
        <w:ind w:left="567" w:hanging="283"/>
        <w:rPr>
          <w:rFonts w:asciiTheme="majorHAnsi" w:hAnsiTheme="majorHAnsi"/>
          <w:lang w:val="sr-Latn-BA"/>
        </w:rPr>
      </w:pPr>
      <w:r w:rsidRPr="002871F1">
        <w:rPr>
          <w:rFonts w:asciiTheme="majorHAnsi" w:hAnsiTheme="majorHAnsi"/>
          <w:lang w:val="sr-Latn-BA"/>
        </w:rPr>
        <w:lastRenderedPageBreak/>
        <w:t>Poreski identifikacioni broj(JIB</w:t>
      </w:r>
      <w:r w:rsidR="00400E75">
        <w:rPr>
          <w:rFonts w:asciiTheme="majorHAnsi" w:hAnsiTheme="majorHAnsi"/>
          <w:lang w:val="sr-Latn-BA"/>
        </w:rPr>
        <w:t xml:space="preserve"> </w:t>
      </w:r>
      <w:r w:rsidRPr="002871F1">
        <w:rPr>
          <w:rFonts w:asciiTheme="majorHAnsi" w:hAnsiTheme="majorHAnsi"/>
          <w:lang w:val="sr-Latn-BA"/>
        </w:rPr>
        <w:t>ili</w:t>
      </w:r>
      <w:r w:rsidR="00400E75">
        <w:rPr>
          <w:rFonts w:asciiTheme="majorHAnsi" w:hAnsiTheme="majorHAnsi"/>
          <w:lang w:val="sr-Latn-BA"/>
        </w:rPr>
        <w:t xml:space="preserve"> </w:t>
      </w:r>
      <w:r w:rsidRPr="002871F1">
        <w:rPr>
          <w:rFonts w:asciiTheme="majorHAnsi" w:hAnsiTheme="majorHAnsi"/>
          <w:lang w:val="sr-Latn-BA"/>
        </w:rPr>
        <w:t>ID) ili drugi odgovarajući</w:t>
      </w:r>
      <w:r w:rsidRPr="002871F1">
        <w:rPr>
          <w:rFonts w:asciiTheme="majorHAnsi" w:hAnsiTheme="majorHAnsi"/>
          <w:spacing w:val="-2"/>
          <w:lang w:val="sr-Latn-BA"/>
        </w:rPr>
        <w:t xml:space="preserve"> dokument;</w:t>
      </w:r>
    </w:p>
    <w:p w:rsidR="006251A2" w:rsidRPr="002871F1" w:rsidRDefault="006251A2" w:rsidP="006251A2">
      <w:pPr>
        <w:pStyle w:val="ListParagraph"/>
        <w:numPr>
          <w:ilvl w:val="0"/>
          <w:numId w:val="2"/>
        </w:numPr>
        <w:tabs>
          <w:tab w:val="left" w:pos="567"/>
        </w:tabs>
        <w:spacing w:line="280" w:lineRule="exact"/>
        <w:ind w:left="567" w:hanging="283"/>
        <w:rPr>
          <w:rFonts w:asciiTheme="majorHAnsi" w:hAnsiTheme="majorHAnsi"/>
          <w:lang w:val="sr-Latn-BA"/>
        </w:rPr>
      </w:pPr>
      <w:r w:rsidRPr="002871F1">
        <w:rPr>
          <w:rFonts w:asciiTheme="majorHAnsi" w:hAnsiTheme="majorHAnsi"/>
          <w:lang w:val="sr-Latn-BA"/>
        </w:rPr>
        <w:t>Reference -Prilog</w:t>
      </w:r>
      <w:r w:rsidRPr="002871F1">
        <w:rPr>
          <w:rFonts w:asciiTheme="majorHAnsi" w:hAnsiTheme="majorHAnsi"/>
          <w:spacing w:val="-4"/>
          <w:lang w:val="sr-Latn-BA"/>
        </w:rPr>
        <w:t xml:space="preserve"> I</w:t>
      </w:r>
      <w:r w:rsidRPr="002871F1">
        <w:rPr>
          <w:rFonts w:asciiTheme="majorHAnsi" w:hAnsiTheme="majorHAnsi"/>
          <w:spacing w:val="-5"/>
          <w:lang w:val="sr-Latn-BA"/>
        </w:rPr>
        <w:t>V.</w:t>
      </w:r>
    </w:p>
    <w:p w:rsidR="006251A2" w:rsidRPr="002871F1" w:rsidRDefault="006251A2" w:rsidP="006251A2">
      <w:pPr>
        <w:pStyle w:val="Heading3"/>
        <w:numPr>
          <w:ilvl w:val="1"/>
          <w:numId w:val="7"/>
        </w:numPr>
        <w:tabs>
          <w:tab w:val="left" w:pos="426"/>
        </w:tabs>
        <w:ind w:left="426"/>
        <w:rPr>
          <w:rFonts w:asciiTheme="majorHAnsi" w:hAnsiTheme="majorHAnsi"/>
        </w:rPr>
      </w:pPr>
      <w:r w:rsidRPr="002871F1">
        <w:rPr>
          <w:rFonts w:asciiTheme="majorHAnsi" w:hAnsiTheme="majorHAnsi"/>
        </w:rPr>
        <w:t xml:space="preserve">Obrazac za cijenu </w:t>
      </w:r>
      <w:r w:rsidRPr="002871F1">
        <w:rPr>
          <w:rFonts w:asciiTheme="majorHAnsi" w:hAnsiTheme="majorHAnsi"/>
          <w:spacing w:val="-2"/>
        </w:rPr>
        <w:t>ponude</w:t>
      </w:r>
    </w:p>
    <w:p w:rsidR="006251A2" w:rsidRPr="002871F1" w:rsidRDefault="006251A2" w:rsidP="006251A2">
      <w:pPr>
        <w:rPr>
          <w:rFonts w:asciiTheme="majorHAnsi" w:hAnsiTheme="majorHAnsi"/>
        </w:rPr>
      </w:pPr>
      <w:r w:rsidRPr="002871F1">
        <w:rPr>
          <w:rFonts w:asciiTheme="majorHAnsi" w:hAnsiTheme="majorHAnsi"/>
        </w:rPr>
        <w:t>Ponuđači su dužni dostaviti popunjen obrazac za cijenu ponude u skladu sa svim zahtjevima koji su definisani, za sve stavke koje su sadržane u obrascu. U slučaju da ponuđač propusti popuniti obrazac u skladu sa postavljenim zahtjevima, za sve stavke koje su navedene, njegova ponuda će biti odbačena.</w:t>
      </w:r>
    </w:p>
    <w:p w:rsidR="006251A2" w:rsidRPr="002871F1" w:rsidRDefault="006251A2" w:rsidP="006251A2">
      <w:pPr>
        <w:pStyle w:val="Heading3"/>
        <w:numPr>
          <w:ilvl w:val="1"/>
          <w:numId w:val="7"/>
        </w:numPr>
        <w:tabs>
          <w:tab w:val="left" w:pos="426"/>
        </w:tabs>
        <w:ind w:left="426"/>
        <w:rPr>
          <w:rFonts w:asciiTheme="majorHAnsi" w:hAnsiTheme="majorHAnsi"/>
        </w:rPr>
      </w:pPr>
      <w:r w:rsidRPr="002871F1">
        <w:rPr>
          <w:rFonts w:asciiTheme="majorHAnsi" w:hAnsiTheme="majorHAnsi"/>
        </w:rPr>
        <w:t xml:space="preserve">Način određivanja cijene </w:t>
      </w:r>
      <w:r w:rsidRPr="002871F1">
        <w:rPr>
          <w:rFonts w:asciiTheme="majorHAnsi" w:hAnsiTheme="majorHAnsi"/>
          <w:spacing w:val="-2"/>
        </w:rPr>
        <w:t>ponude</w:t>
      </w:r>
    </w:p>
    <w:p w:rsidR="006251A2" w:rsidRPr="002871F1" w:rsidRDefault="006251A2" w:rsidP="006251A2">
      <w:pPr>
        <w:rPr>
          <w:rFonts w:asciiTheme="majorHAnsi" w:hAnsiTheme="majorHAnsi"/>
        </w:rPr>
      </w:pPr>
      <w:r w:rsidRPr="002871F1">
        <w:rPr>
          <w:rFonts w:asciiTheme="majorHAnsi" w:hAnsiTheme="majorHAnsi"/>
        </w:rPr>
        <w:t>Cijena ponude obuhvata sve stavke iz obrasca zacijenu</w:t>
      </w:r>
      <w:r w:rsidRPr="002871F1">
        <w:rPr>
          <w:rFonts w:asciiTheme="majorHAnsi" w:hAnsiTheme="majorHAnsi"/>
          <w:spacing w:val="-2"/>
        </w:rPr>
        <w:t xml:space="preserve"> ponude.</w:t>
      </w:r>
    </w:p>
    <w:p w:rsidR="006251A2" w:rsidRPr="002871F1" w:rsidRDefault="006251A2" w:rsidP="006251A2">
      <w:pPr>
        <w:rPr>
          <w:rFonts w:asciiTheme="majorHAnsi" w:hAnsiTheme="majorHAnsi"/>
        </w:rPr>
      </w:pPr>
      <w:r w:rsidRPr="002871F1">
        <w:rPr>
          <w:rFonts w:asciiTheme="majorHAnsi" w:hAnsiTheme="majorHAnsi"/>
        </w:rPr>
        <w:t xml:space="preserve">Cijena ponude se piše brojevima i slovima. Cijena ponude je </w:t>
      </w:r>
      <w:r w:rsidRPr="002871F1">
        <w:rPr>
          <w:rFonts w:asciiTheme="majorHAnsi" w:hAnsiTheme="majorHAnsi"/>
          <w:spacing w:val="-2"/>
        </w:rPr>
        <w:t>nepromjenjiva.</w:t>
      </w:r>
    </w:p>
    <w:p w:rsidR="006251A2" w:rsidRPr="002871F1" w:rsidRDefault="006251A2" w:rsidP="006251A2">
      <w:pPr>
        <w:rPr>
          <w:rFonts w:asciiTheme="majorHAnsi" w:hAnsiTheme="majorHAnsi"/>
        </w:rPr>
      </w:pPr>
      <w:r w:rsidRPr="002871F1">
        <w:rPr>
          <w:rFonts w:asciiTheme="majorHAnsi" w:hAnsiTheme="majorHAnsi"/>
        </w:rPr>
        <w:t>U cijeni ponude se obavezno navodi cijena ponude(bez</w:t>
      </w:r>
      <w:bookmarkStart w:id="14" w:name="_GoBack"/>
      <w:bookmarkEnd w:id="14"/>
      <w:r w:rsidRPr="002871F1">
        <w:rPr>
          <w:rFonts w:asciiTheme="majorHAnsi" w:hAnsiTheme="majorHAnsi"/>
        </w:rPr>
        <w:t>PDV-a),ponuđeni popust i na kraju cijena ponude sa uključenim popustom (bez PDV-a).</w:t>
      </w:r>
    </w:p>
    <w:p w:rsidR="006251A2" w:rsidRPr="002871F1" w:rsidRDefault="006251A2" w:rsidP="006251A2">
      <w:pPr>
        <w:pStyle w:val="ListParagraph"/>
        <w:numPr>
          <w:ilvl w:val="1"/>
          <w:numId w:val="7"/>
        </w:numPr>
        <w:ind w:left="426" w:hanging="284"/>
        <w:rPr>
          <w:rFonts w:asciiTheme="majorHAnsi" w:hAnsiTheme="majorHAnsi"/>
          <w:b/>
          <w:sz w:val="24"/>
          <w:szCs w:val="24"/>
        </w:rPr>
      </w:pPr>
      <w:r w:rsidRPr="002871F1">
        <w:rPr>
          <w:rFonts w:asciiTheme="majorHAnsi" w:hAnsiTheme="majorHAnsi"/>
          <w:b/>
          <w:sz w:val="24"/>
          <w:szCs w:val="24"/>
        </w:rPr>
        <w:t xml:space="preserve">Rok </w:t>
      </w:r>
      <w:r w:rsidR="008D722A">
        <w:rPr>
          <w:rFonts w:asciiTheme="majorHAnsi" w:hAnsiTheme="majorHAnsi"/>
          <w:b/>
          <w:sz w:val="24"/>
          <w:szCs w:val="24"/>
        </w:rPr>
        <w:t>i način  dostavljanja</w:t>
      </w:r>
      <w:r w:rsidRPr="002871F1">
        <w:rPr>
          <w:rFonts w:asciiTheme="majorHAnsi" w:hAnsiTheme="majorHAnsi"/>
          <w:b/>
          <w:sz w:val="24"/>
          <w:szCs w:val="24"/>
        </w:rPr>
        <w:t xml:space="preserve"> ponuda</w:t>
      </w:r>
    </w:p>
    <w:p w:rsidR="006251A2" w:rsidRPr="002871F1" w:rsidRDefault="006251A2" w:rsidP="006251A2">
      <w:pPr>
        <w:rPr>
          <w:rFonts w:asciiTheme="majorHAnsi" w:hAnsiTheme="majorHAnsi"/>
        </w:rPr>
      </w:pPr>
      <w:r w:rsidRPr="002871F1">
        <w:rPr>
          <w:rFonts w:asciiTheme="majorHAnsi" w:hAnsiTheme="majorHAnsi"/>
        </w:rPr>
        <w:t xml:space="preserve">Ponuđači su dužni </w:t>
      </w:r>
      <w:r w:rsidR="00BC04C3">
        <w:rPr>
          <w:rFonts w:asciiTheme="majorHAnsi" w:hAnsiTheme="majorHAnsi"/>
        </w:rPr>
        <w:t xml:space="preserve">dostaviti ponudu do 20.02.2023. godine do 12 časova. </w:t>
      </w:r>
      <w:r w:rsidR="008D722A">
        <w:rPr>
          <w:rFonts w:asciiTheme="majorHAnsi" w:hAnsiTheme="majorHAnsi"/>
        </w:rPr>
        <w:t>Ponude se dostavljaju lično ili poštom na adresu Razvojna agencija Grada Trebinja, ul Stepe Stepanovića bb. 89101 Trebinje.</w:t>
      </w:r>
      <w:r w:rsidRPr="00EB33CD">
        <w:rPr>
          <w:rFonts w:asciiTheme="majorHAnsi" w:hAnsiTheme="majorHAnsi"/>
          <w:highlight w:val="yellow"/>
        </w:rPr>
        <w:t xml:space="preserve"> </w:t>
      </w:r>
    </w:p>
    <w:p w:rsidR="006251A2" w:rsidRPr="002871F1" w:rsidRDefault="006251A2" w:rsidP="006251A2">
      <w:pPr>
        <w:spacing w:before="240" w:line="360" w:lineRule="auto"/>
        <w:ind w:left="215"/>
        <w:rPr>
          <w:rFonts w:asciiTheme="majorHAnsi" w:hAnsiTheme="majorHAnsi"/>
          <w:b/>
          <w:sz w:val="24"/>
        </w:rPr>
      </w:pPr>
      <w:r w:rsidRPr="002871F1">
        <w:rPr>
          <w:rFonts w:asciiTheme="majorHAnsi" w:hAnsiTheme="majorHAnsi"/>
          <w:b/>
          <w:spacing w:val="-2"/>
          <w:sz w:val="24"/>
          <w:u w:val="single"/>
        </w:rPr>
        <w:t>NAPOMENA:</w:t>
      </w:r>
    </w:p>
    <w:p w:rsidR="006251A2" w:rsidRPr="002871F1" w:rsidRDefault="006251A2" w:rsidP="006251A2">
      <w:pPr>
        <w:spacing w:before="240" w:line="247" w:lineRule="auto"/>
        <w:jc w:val="both"/>
        <w:rPr>
          <w:rFonts w:asciiTheme="majorHAnsi" w:hAnsiTheme="majorHAnsi"/>
          <w:b/>
          <w:sz w:val="24"/>
        </w:rPr>
      </w:pPr>
      <w:r w:rsidRPr="002871F1">
        <w:rPr>
          <w:rFonts w:asciiTheme="majorHAnsi" w:hAnsiTheme="majorHAnsi"/>
        </w:rPr>
        <w:t xml:space="preserve">Ponuđač neće navoditi cijenu sa PDV-om s obzirom da se nabavka finansira iz projekta koji je oslobođen od plaćanja PDV-a, u skladu sa članom 29. Stav 2. Zakona o porezu na dodatu vrijednost (“Sl. Glasnik BiH” 09/05, 35/05,100/08 i 33/17) . Ugovorni organ će dostaviti izabranom ponuđaču, prije izdavanja fakture, Instrukciju o postupku ostvarivanjacarinskih i poreskih oslobađanja u skladu sa okvirnim sporazumom Bosne </w:t>
      </w:r>
      <w:r w:rsidRPr="002871F1">
        <w:rPr>
          <w:rFonts w:asciiTheme="majorHAnsi" w:hAnsiTheme="majorHAnsi"/>
          <w:spacing w:val="-1"/>
        </w:rPr>
        <w:t>i</w:t>
      </w:r>
      <w:r w:rsidRPr="002871F1">
        <w:rPr>
          <w:rFonts w:asciiTheme="majorHAnsi" w:hAnsiTheme="majorHAnsi"/>
        </w:rPr>
        <w:t xml:space="preserve"> Hercegovine i Evropske komisije o aranžmanima za provođenje finansijske pomoći Unije Bosne </w:t>
      </w:r>
      <w:r w:rsidRPr="002871F1">
        <w:rPr>
          <w:rFonts w:asciiTheme="majorHAnsi" w:hAnsiTheme="majorHAnsi"/>
          <w:spacing w:val="79"/>
        </w:rPr>
        <w:t>i</w:t>
      </w:r>
      <w:r w:rsidRPr="002871F1">
        <w:rPr>
          <w:rFonts w:asciiTheme="majorHAnsi" w:hAnsiTheme="majorHAnsi"/>
        </w:rPr>
        <w:t xml:space="preserve"> Hercegovine u okviru instrumenta pretpristupne pomoći(IPAII)(Službeni glasnik BiH br. 91/15 ) kao i kopiju Potvrde o oslobađanju od plaćanja PDV-a izdanu od strane Delegacije Evropske unije u BiH.</w:t>
      </w:r>
    </w:p>
    <w:p w:rsidR="006251A2" w:rsidRPr="002871F1" w:rsidRDefault="006251A2" w:rsidP="006251A2">
      <w:pPr>
        <w:pStyle w:val="Heading3"/>
        <w:numPr>
          <w:ilvl w:val="1"/>
          <w:numId w:val="7"/>
        </w:numPr>
        <w:tabs>
          <w:tab w:val="left" w:pos="426"/>
        </w:tabs>
        <w:ind w:left="426"/>
        <w:rPr>
          <w:rFonts w:asciiTheme="majorHAnsi" w:hAnsiTheme="majorHAnsi"/>
        </w:rPr>
      </w:pPr>
      <w:r w:rsidRPr="002871F1">
        <w:rPr>
          <w:rFonts w:asciiTheme="majorHAnsi" w:hAnsiTheme="majorHAnsi"/>
        </w:rPr>
        <w:t xml:space="preserve">Valuta </w:t>
      </w:r>
      <w:r w:rsidRPr="002871F1">
        <w:rPr>
          <w:rFonts w:asciiTheme="majorHAnsi" w:hAnsiTheme="majorHAnsi"/>
          <w:spacing w:val="-2"/>
        </w:rPr>
        <w:t>ponude</w:t>
      </w:r>
    </w:p>
    <w:p w:rsidR="006251A2" w:rsidRPr="002871F1" w:rsidRDefault="006251A2" w:rsidP="006251A2">
      <w:pPr>
        <w:jc w:val="both"/>
        <w:rPr>
          <w:rFonts w:asciiTheme="majorHAnsi" w:hAnsiTheme="majorHAnsi"/>
        </w:rPr>
      </w:pPr>
      <w:r w:rsidRPr="002871F1">
        <w:rPr>
          <w:rFonts w:asciiTheme="majorHAnsi" w:hAnsiTheme="majorHAnsi"/>
        </w:rPr>
        <w:t>Cijena ponude se izražava u konvertibilnim markama</w:t>
      </w:r>
      <w:r w:rsidRPr="002871F1">
        <w:rPr>
          <w:rFonts w:asciiTheme="majorHAnsi" w:hAnsiTheme="majorHAnsi"/>
          <w:spacing w:val="-2"/>
        </w:rPr>
        <w:t>(BAM) i u evrima (EUR).</w:t>
      </w:r>
    </w:p>
    <w:p w:rsidR="006251A2" w:rsidRPr="002871F1" w:rsidRDefault="006251A2" w:rsidP="006251A2">
      <w:pPr>
        <w:jc w:val="both"/>
        <w:rPr>
          <w:rFonts w:asciiTheme="majorHAnsi" w:hAnsiTheme="majorHAnsi"/>
        </w:rPr>
      </w:pPr>
      <w:r w:rsidRPr="002871F1">
        <w:rPr>
          <w:rFonts w:asciiTheme="majorHAnsi" w:hAnsiTheme="majorHAnsi"/>
        </w:rPr>
        <w:t>Ako se cijene navode u stranoj valuti, navedeni iznos će se preračunati u KM po kursu koji utvrđuje Centralna banka Bosne i Hercegovine na dan otvaranja ponuda i zadržatipo istom kursu sve do isteka perioda važenja ponude.</w:t>
      </w:r>
    </w:p>
    <w:p w:rsidR="006251A2" w:rsidRPr="002871F1" w:rsidRDefault="006251A2" w:rsidP="006251A2">
      <w:pPr>
        <w:pStyle w:val="Heading3"/>
        <w:numPr>
          <w:ilvl w:val="1"/>
          <w:numId w:val="7"/>
        </w:numPr>
        <w:tabs>
          <w:tab w:val="left" w:pos="426"/>
        </w:tabs>
        <w:spacing w:before="189"/>
        <w:ind w:left="426"/>
        <w:rPr>
          <w:rFonts w:asciiTheme="majorHAnsi" w:hAnsiTheme="majorHAnsi"/>
        </w:rPr>
      </w:pPr>
      <w:r w:rsidRPr="002871F1">
        <w:rPr>
          <w:rFonts w:asciiTheme="majorHAnsi" w:hAnsiTheme="majorHAnsi"/>
        </w:rPr>
        <w:t xml:space="preserve">Kriterij za dodjelu </w:t>
      </w:r>
      <w:r w:rsidRPr="002871F1">
        <w:rPr>
          <w:rFonts w:asciiTheme="majorHAnsi" w:hAnsiTheme="majorHAnsi"/>
          <w:spacing w:val="-2"/>
        </w:rPr>
        <w:t>ugovora</w:t>
      </w:r>
    </w:p>
    <w:p w:rsidR="006251A2" w:rsidRPr="002871F1" w:rsidRDefault="006251A2" w:rsidP="006251A2">
      <w:pPr>
        <w:rPr>
          <w:rFonts w:asciiTheme="majorHAnsi" w:hAnsiTheme="majorHAnsi"/>
        </w:rPr>
      </w:pPr>
      <w:r w:rsidRPr="002871F1">
        <w:rPr>
          <w:rFonts w:asciiTheme="majorHAnsi" w:hAnsiTheme="majorHAnsi"/>
          <w:b/>
        </w:rPr>
        <w:t>Kriterij za dodjelu ugovora je</w:t>
      </w:r>
      <w:r w:rsidRPr="002871F1">
        <w:rPr>
          <w:rFonts w:asciiTheme="majorHAnsi" w:hAnsiTheme="majorHAnsi"/>
        </w:rPr>
        <w:t>: Najniža cijena tehnički prihvatljive</w:t>
      </w:r>
      <w:r w:rsidRPr="002871F1">
        <w:rPr>
          <w:rFonts w:asciiTheme="majorHAnsi" w:hAnsiTheme="majorHAnsi"/>
          <w:spacing w:val="-2"/>
        </w:rPr>
        <w:t xml:space="preserve"> ponude.</w:t>
      </w:r>
    </w:p>
    <w:p w:rsidR="006251A2" w:rsidRPr="002871F1" w:rsidRDefault="006251A2" w:rsidP="006251A2">
      <w:pPr>
        <w:rPr>
          <w:rFonts w:asciiTheme="majorHAnsi" w:hAnsiTheme="majorHAnsi"/>
        </w:rPr>
      </w:pPr>
      <w:r w:rsidRPr="002871F1">
        <w:rPr>
          <w:rFonts w:asciiTheme="majorHAnsi" w:hAnsiTheme="majorHAnsi"/>
        </w:rPr>
        <w:t>Ponuđena cijena treba uključivati i sve obaveze vezane realizaciju ugovorenih roba (bez PDV-a), na način kako je opisano u Obrascu za cijenu ponude(Prilog II).</w:t>
      </w:r>
    </w:p>
    <w:p w:rsidR="006251A2" w:rsidRPr="002871F1" w:rsidRDefault="006251A2" w:rsidP="006251A2">
      <w:pPr>
        <w:pStyle w:val="Heading3"/>
        <w:numPr>
          <w:ilvl w:val="1"/>
          <w:numId w:val="7"/>
        </w:numPr>
        <w:ind w:left="426"/>
        <w:rPr>
          <w:rFonts w:asciiTheme="majorHAnsi" w:hAnsiTheme="majorHAnsi"/>
        </w:rPr>
      </w:pPr>
      <w:r w:rsidRPr="002871F1">
        <w:rPr>
          <w:rFonts w:asciiTheme="majorHAnsi" w:hAnsiTheme="majorHAnsi"/>
        </w:rPr>
        <w:t>Rok važenja</w:t>
      </w:r>
      <w:r w:rsidRPr="002871F1">
        <w:rPr>
          <w:rFonts w:asciiTheme="majorHAnsi" w:hAnsiTheme="majorHAnsi"/>
          <w:spacing w:val="-2"/>
        </w:rPr>
        <w:t xml:space="preserve"> ponude</w:t>
      </w:r>
    </w:p>
    <w:p w:rsidR="006251A2" w:rsidRPr="002871F1" w:rsidRDefault="006251A2" w:rsidP="006251A2">
      <w:pPr>
        <w:rPr>
          <w:rFonts w:asciiTheme="majorHAnsi" w:hAnsiTheme="majorHAnsi"/>
        </w:rPr>
      </w:pPr>
      <w:r w:rsidRPr="002871F1">
        <w:rPr>
          <w:rFonts w:asciiTheme="majorHAnsi" w:hAnsiTheme="majorHAnsi"/>
        </w:rPr>
        <w:t xml:space="preserve">Ponude trebaju da važe 90 dana nakon krajnjeg roka za podnošenje </w:t>
      </w:r>
      <w:r w:rsidRPr="002871F1">
        <w:rPr>
          <w:rFonts w:asciiTheme="majorHAnsi" w:hAnsiTheme="majorHAnsi"/>
          <w:spacing w:val="-2"/>
        </w:rPr>
        <w:t>ponuda.</w:t>
      </w:r>
    </w:p>
    <w:p w:rsidR="006251A2" w:rsidRPr="002871F1" w:rsidRDefault="006251A2" w:rsidP="006251A2">
      <w:pPr>
        <w:rPr>
          <w:rFonts w:asciiTheme="majorHAnsi" w:hAnsiTheme="majorHAnsi"/>
          <w:szCs w:val="24"/>
        </w:rPr>
      </w:pPr>
      <w:r w:rsidRPr="002871F1">
        <w:rPr>
          <w:rFonts w:asciiTheme="majorHAnsi" w:hAnsiTheme="majorHAnsi"/>
          <w:szCs w:val="24"/>
        </w:rPr>
        <w:lastRenderedPageBreak/>
        <w:t>Ukoliko ponuđač u ponudi ne navede rok važenja ponude, onda se smatra da je rok važenja ponude onaj koji je naveden u ovoj tenderskoj dokumentaciji.</w:t>
      </w:r>
    </w:p>
    <w:p w:rsidR="006251A2" w:rsidRPr="002871F1" w:rsidRDefault="006251A2" w:rsidP="006251A2">
      <w:pPr>
        <w:rPr>
          <w:rFonts w:asciiTheme="majorHAnsi" w:hAnsiTheme="majorHAnsi"/>
          <w:szCs w:val="24"/>
        </w:rPr>
      </w:pPr>
      <w:r w:rsidRPr="002871F1">
        <w:rPr>
          <w:rFonts w:asciiTheme="majorHAnsi" w:hAnsiTheme="majorHAnsi"/>
          <w:szCs w:val="24"/>
        </w:rPr>
        <w:t xml:space="preserve">U slučaju da je period važenja ponude kraći od roka navedenog u tenderskoj dokumentaciji, ugovorni organ će odbiti takvu ponudu u skladu sa članom 60. stav (1) </w:t>
      </w:r>
      <w:r w:rsidRPr="002871F1">
        <w:rPr>
          <w:rFonts w:asciiTheme="majorHAnsi" w:hAnsiTheme="majorHAnsi"/>
          <w:spacing w:val="-2"/>
          <w:szCs w:val="24"/>
        </w:rPr>
        <w:t>Zakona.</w:t>
      </w:r>
    </w:p>
    <w:p w:rsidR="006251A2" w:rsidRPr="002871F1" w:rsidRDefault="006251A2" w:rsidP="006251A2">
      <w:pPr>
        <w:rPr>
          <w:rFonts w:asciiTheme="majorHAnsi" w:hAnsiTheme="majorHAnsi"/>
          <w:szCs w:val="24"/>
        </w:rPr>
      </w:pPr>
      <w:r w:rsidRPr="002871F1">
        <w:rPr>
          <w:rFonts w:asciiTheme="majorHAnsi" w:hAnsiTheme="majorHAnsi"/>
          <w:szCs w:val="24"/>
        </w:rPr>
        <w:t>Ugovorni organ zadržava pravo da pismenim putem traži saglasnost za produženje roka važenja ponude. Ukoliko ponuđač ne dostavi pismenu saglasnost, smatra se da je odbio zahtjev ugovornog organa, te se njegova ponuda ne razmatra u daljem toku postupka javne nabavke.</w:t>
      </w:r>
    </w:p>
    <w:p w:rsidR="006251A2" w:rsidRPr="002871F1" w:rsidRDefault="006251A2" w:rsidP="006251A2">
      <w:pPr>
        <w:pStyle w:val="Heading3"/>
        <w:numPr>
          <w:ilvl w:val="1"/>
          <w:numId w:val="7"/>
        </w:numPr>
        <w:tabs>
          <w:tab w:val="left" w:pos="426"/>
        </w:tabs>
        <w:ind w:left="426"/>
        <w:rPr>
          <w:rFonts w:asciiTheme="majorHAnsi" w:hAnsiTheme="majorHAnsi"/>
        </w:rPr>
      </w:pPr>
      <w:r w:rsidRPr="002871F1">
        <w:rPr>
          <w:rFonts w:asciiTheme="majorHAnsi" w:hAnsiTheme="majorHAnsi"/>
        </w:rPr>
        <w:t xml:space="preserve">Rok, način i uslovi plaćanja izabranom </w:t>
      </w:r>
      <w:r w:rsidRPr="002871F1">
        <w:rPr>
          <w:rFonts w:asciiTheme="majorHAnsi" w:hAnsiTheme="majorHAnsi"/>
          <w:spacing w:val="-2"/>
        </w:rPr>
        <w:t>ponuđaču</w:t>
      </w:r>
    </w:p>
    <w:p w:rsidR="006251A2" w:rsidRPr="002871F1" w:rsidRDefault="006251A2" w:rsidP="006251A2">
      <w:pPr>
        <w:rPr>
          <w:rFonts w:asciiTheme="majorHAnsi" w:hAnsiTheme="majorHAnsi"/>
        </w:rPr>
      </w:pPr>
      <w:r w:rsidRPr="002871F1">
        <w:rPr>
          <w:rFonts w:asciiTheme="majorHAnsi" w:hAnsiTheme="majorHAnsi"/>
        </w:rPr>
        <w:t xml:space="preserve">Ugovorni organ će putem svoje Komisije za primopredaju izvršiti prijem obavljenih radova, utvrditi količinu i kvalitet isporučene robe i o tome sačiniti zapisnik na licu mjesta. </w:t>
      </w:r>
    </w:p>
    <w:p w:rsidR="006251A2" w:rsidRPr="002871F1" w:rsidRDefault="006251A2" w:rsidP="006251A2">
      <w:pPr>
        <w:rPr>
          <w:rFonts w:asciiTheme="majorHAnsi" w:hAnsiTheme="majorHAnsi"/>
          <w:color w:val="000000" w:themeColor="text1"/>
        </w:rPr>
      </w:pPr>
      <w:r w:rsidRPr="002871F1">
        <w:rPr>
          <w:rFonts w:asciiTheme="majorHAnsi" w:hAnsiTheme="majorHAnsi"/>
          <w:color w:val="000000" w:themeColor="text1"/>
        </w:rPr>
        <w:t>Ugovorni organ će, nakon prijema radova i sačinjenog zapisnika od strane nadzornog organa, izvršiti plaćanje u roku od 15 dana, u cjelokupnom iznosu.</w:t>
      </w:r>
    </w:p>
    <w:p w:rsidR="006251A2" w:rsidRPr="002871F1" w:rsidRDefault="006251A2" w:rsidP="006251A2">
      <w:pPr>
        <w:pStyle w:val="Heading3"/>
        <w:keepNext/>
        <w:widowControl/>
        <w:numPr>
          <w:ilvl w:val="1"/>
          <w:numId w:val="7"/>
        </w:numPr>
        <w:tabs>
          <w:tab w:val="left" w:pos="426"/>
        </w:tabs>
        <w:spacing w:before="190"/>
        <w:ind w:left="425" w:hanging="357"/>
        <w:rPr>
          <w:rFonts w:asciiTheme="majorHAnsi" w:hAnsiTheme="majorHAnsi"/>
        </w:rPr>
      </w:pPr>
      <w:r w:rsidRPr="002871F1">
        <w:rPr>
          <w:rFonts w:asciiTheme="majorHAnsi" w:hAnsiTheme="majorHAnsi"/>
          <w:spacing w:val="-2"/>
        </w:rPr>
        <w:t>Podugovaranje</w:t>
      </w:r>
    </w:p>
    <w:p w:rsidR="006251A2" w:rsidRPr="002871F1" w:rsidRDefault="006251A2" w:rsidP="006251A2">
      <w:pPr>
        <w:rPr>
          <w:rFonts w:asciiTheme="majorHAnsi" w:hAnsiTheme="majorHAnsi"/>
          <w:spacing w:val="-2"/>
        </w:rPr>
      </w:pPr>
      <w:r w:rsidRPr="002871F1">
        <w:rPr>
          <w:rFonts w:asciiTheme="majorHAnsi" w:hAnsiTheme="majorHAnsi"/>
          <w:spacing w:val="-2"/>
        </w:rPr>
        <w:t>Ponuđačima je podugovaranje dozvoljeno.</w:t>
      </w:r>
      <w:r w:rsidRPr="002871F1">
        <w:rPr>
          <w:rFonts w:asciiTheme="majorHAnsi" w:hAnsiTheme="majorHAnsi"/>
        </w:rPr>
        <w:t xml:space="preserve">U slučaju podugovaranja, odgovornost za uredno izvršavanje ugovora snosi izabrani </w:t>
      </w:r>
      <w:r w:rsidRPr="002871F1">
        <w:rPr>
          <w:rFonts w:asciiTheme="majorHAnsi" w:hAnsiTheme="majorHAnsi"/>
          <w:spacing w:val="-2"/>
        </w:rPr>
        <w:t>ponuđač.</w:t>
      </w:r>
    </w:p>
    <w:p w:rsidR="006251A2" w:rsidRPr="002871F1" w:rsidRDefault="006251A2" w:rsidP="006251A2">
      <w:pPr>
        <w:rPr>
          <w:rFonts w:asciiTheme="majorHAnsi" w:hAnsiTheme="majorHAnsi"/>
        </w:rPr>
      </w:pPr>
      <w:r w:rsidRPr="002871F1">
        <w:rPr>
          <w:rFonts w:asciiTheme="majorHAnsi" w:hAnsiTheme="majorHAnsi"/>
          <w:spacing w:val="-2"/>
        </w:rPr>
        <w:t xml:space="preserve">Ponuđačima će biti omogućeno da prije dostavljanja ponude obiđu trasu i upoznaju se sa specifičnostima terena, u cilju </w:t>
      </w:r>
      <w:r w:rsidRPr="002871F1">
        <w:rPr>
          <w:rFonts w:asciiTheme="majorHAnsi" w:hAnsiTheme="majorHAnsi"/>
        </w:rPr>
        <w:t>dobrog izvršenja posla.</w:t>
      </w:r>
    </w:p>
    <w:p w:rsidR="006251A2" w:rsidRPr="002871F1" w:rsidRDefault="006251A2" w:rsidP="006251A2">
      <w:pPr>
        <w:rPr>
          <w:rFonts w:asciiTheme="majorHAnsi" w:hAnsiTheme="majorHAnsi"/>
          <w:b/>
          <w:spacing w:val="-2"/>
        </w:rPr>
      </w:pPr>
      <w:r w:rsidRPr="002871F1">
        <w:rPr>
          <w:rFonts w:asciiTheme="majorHAnsi" w:hAnsiTheme="majorHAnsi"/>
          <w:b/>
          <w:spacing w:val="-2"/>
          <w:sz w:val="24"/>
          <w:szCs w:val="24"/>
        </w:rPr>
        <w:t>j.</w:t>
      </w:r>
      <w:r w:rsidRPr="002871F1">
        <w:rPr>
          <w:rFonts w:asciiTheme="majorHAnsi" w:hAnsiTheme="majorHAnsi"/>
          <w:b/>
          <w:spacing w:val="-2"/>
        </w:rPr>
        <w:t xml:space="preserve">   </w:t>
      </w:r>
      <w:r w:rsidRPr="002871F1">
        <w:rPr>
          <w:rFonts w:asciiTheme="majorHAnsi" w:hAnsiTheme="majorHAnsi"/>
          <w:b/>
          <w:spacing w:val="-2"/>
          <w:sz w:val="24"/>
          <w:szCs w:val="24"/>
        </w:rPr>
        <w:t>Dodatne informacije</w:t>
      </w:r>
    </w:p>
    <w:p w:rsidR="006251A2" w:rsidRPr="002871F1" w:rsidRDefault="006251A2" w:rsidP="006251A2">
      <w:pPr>
        <w:rPr>
          <w:rFonts w:asciiTheme="majorHAnsi" w:hAnsiTheme="majorHAnsi"/>
          <w:sz w:val="24"/>
          <w:szCs w:val="24"/>
        </w:rPr>
      </w:pPr>
      <w:r w:rsidRPr="002871F1">
        <w:rPr>
          <w:rFonts w:asciiTheme="majorHAnsi" w:hAnsiTheme="majorHAnsi"/>
          <w:spacing w:val="-2"/>
        </w:rPr>
        <w:t>Ponuđačima je omogućeno da prije dostavljanja ponude obiđu trasu i upoznaju se sa specifičnostima terena</w:t>
      </w:r>
      <w:r w:rsidRPr="002871F1">
        <w:rPr>
          <w:rFonts w:asciiTheme="majorHAnsi" w:hAnsiTheme="majorHAnsi"/>
        </w:rPr>
        <w:t>.</w:t>
      </w:r>
    </w:p>
    <w:p w:rsidR="006251A2" w:rsidRPr="002871F1" w:rsidRDefault="006251A2" w:rsidP="006251A2">
      <w:pPr>
        <w:rPr>
          <w:rFonts w:asciiTheme="majorHAnsi" w:hAnsiTheme="majorHAnsi"/>
          <w:sz w:val="24"/>
          <w:szCs w:val="24"/>
        </w:rPr>
      </w:pPr>
    </w:p>
    <w:p w:rsidR="006251A2" w:rsidRPr="002871F1" w:rsidRDefault="006251A2" w:rsidP="006251A2">
      <w:pPr>
        <w:pStyle w:val="NoSpacing"/>
        <w:jc w:val="both"/>
        <w:rPr>
          <w:rFonts w:asciiTheme="majorHAnsi" w:hAnsiTheme="majorHAnsi"/>
          <w:sz w:val="24"/>
          <w:szCs w:val="24"/>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25248F" w:rsidRPr="002871F1" w:rsidRDefault="0025248F"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187DE1" w:rsidRPr="002871F1" w:rsidRDefault="00187DE1" w:rsidP="00187DE1">
      <w:pPr>
        <w:pStyle w:val="Header"/>
        <w:tabs>
          <w:tab w:val="clear" w:pos="4680"/>
          <w:tab w:val="clear" w:pos="9360"/>
          <w:tab w:val="right" w:pos="9090"/>
        </w:tabs>
        <w:ind w:left="-426" w:right="-189"/>
        <w:jc w:val="center"/>
        <w:rPr>
          <w:rFonts w:asciiTheme="majorHAnsi" w:hAnsiTheme="majorHAnsi"/>
          <w:b/>
          <w:bCs/>
          <w:lang w:val="sr-Latn-BA" w:eastAsia="en-US"/>
        </w:rPr>
      </w:pPr>
    </w:p>
    <w:p w:rsidR="00187DE1" w:rsidRPr="002871F1" w:rsidRDefault="00187DE1" w:rsidP="00187DE1">
      <w:pPr>
        <w:pStyle w:val="Header"/>
        <w:tabs>
          <w:tab w:val="clear" w:pos="4680"/>
          <w:tab w:val="clear" w:pos="9360"/>
          <w:tab w:val="left" w:pos="8685"/>
          <w:tab w:val="right" w:pos="9090"/>
        </w:tabs>
        <w:ind w:left="-426" w:right="-189"/>
        <w:rPr>
          <w:rFonts w:asciiTheme="majorHAnsi" w:hAnsiTheme="majorHAnsi"/>
          <w:b/>
          <w:bCs/>
          <w:lang w:val="sr-Latn-BA" w:eastAsia="en-US"/>
        </w:rPr>
      </w:pPr>
      <w:r w:rsidRPr="002871F1">
        <w:rPr>
          <w:rFonts w:asciiTheme="majorHAnsi" w:hAnsiTheme="majorHAnsi"/>
          <w:b/>
          <w:bCs/>
          <w:lang w:val="sr-Latn-BA" w:eastAsia="en-US"/>
        </w:rPr>
        <w:tab/>
      </w:r>
    </w:p>
    <w:p w:rsidR="00187DE1" w:rsidRPr="002871F1" w:rsidRDefault="00187DE1" w:rsidP="004A7D3F">
      <w:pPr>
        <w:pStyle w:val="Header"/>
        <w:tabs>
          <w:tab w:val="clear" w:pos="4680"/>
          <w:tab w:val="clear" w:pos="9360"/>
          <w:tab w:val="left" w:pos="8340"/>
          <w:tab w:val="right" w:pos="9090"/>
        </w:tabs>
        <w:ind w:left="-426" w:right="-189"/>
        <w:rPr>
          <w:rFonts w:asciiTheme="majorHAnsi" w:hAnsiTheme="majorHAnsi"/>
          <w:b/>
          <w:bCs/>
          <w:lang w:val="sr-Latn-BA" w:eastAsia="en-US"/>
        </w:rPr>
      </w:pPr>
      <w:r w:rsidRPr="002871F1">
        <w:rPr>
          <w:rFonts w:asciiTheme="majorHAnsi" w:hAnsiTheme="majorHAnsi"/>
          <w:b/>
          <w:bCs/>
          <w:lang w:val="sr-Latn-BA" w:eastAsia="en-US"/>
        </w:rPr>
        <w:tab/>
      </w:r>
    </w:p>
    <w:p w:rsidR="00BC7348" w:rsidRPr="002871F1" w:rsidRDefault="00BC7348" w:rsidP="00CF51B3">
      <w:pPr>
        <w:pStyle w:val="Header"/>
        <w:tabs>
          <w:tab w:val="right" w:pos="9090"/>
        </w:tabs>
        <w:ind w:left="-426" w:right="-189"/>
        <w:rPr>
          <w:rFonts w:asciiTheme="majorHAnsi" w:hAnsiTheme="majorHAnsi" w:cs="Arial"/>
          <w:i/>
          <w:lang w:val="sr-Latn-BA"/>
        </w:rPr>
      </w:pPr>
    </w:p>
    <w:sectPr w:rsidR="00BC7348" w:rsidRPr="002871F1" w:rsidSect="001E0730">
      <w:headerReference w:type="default" r:id="rId7"/>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1028" w:rsidRDefault="00241028" w:rsidP="00187DE1">
      <w:pPr>
        <w:spacing w:after="0" w:line="240" w:lineRule="auto"/>
      </w:pPr>
      <w:r>
        <w:separator/>
      </w:r>
    </w:p>
  </w:endnote>
  <w:endnote w:type="continuationSeparator" w:id="1">
    <w:p w:rsidR="00241028" w:rsidRDefault="00241028" w:rsidP="00187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48F" w:rsidRDefault="004D6B40">
    <w:pPr>
      <w:pStyle w:val="Footer"/>
      <w:jc w:val="right"/>
    </w:pPr>
    <w:fldSimple w:instr=" PAGE   \* MERGEFORMAT ">
      <w:r w:rsidR="008D722A">
        <w:rPr>
          <w:noProof/>
        </w:rPr>
        <w:t>4</w:t>
      </w:r>
    </w:fldSimple>
  </w:p>
  <w:p w:rsidR="00187DE1" w:rsidRDefault="00187D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30" w:rsidRDefault="006E0B46">
    <w:pPr>
      <w:pStyle w:val="Footer"/>
    </w:pPr>
    <w:r>
      <w:rPr>
        <w:noProof/>
      </w:rPr>
      <w:drawing>
        <wp:anchor distT="0" distB="0" distL="114300" distR="114300" simplePos="0" relativeHeight="251660800" behindDoc="0" locked="0" layoutInCell="1" allowOverlap="1">
          <wp:simplePos x="0" y="0"/>
          <wp:positionH relativeFrom="column">
            <wp:posOffset>5096510</wp:posOffset>
          </wp:positionH>
          <wp:positionV relativeFrom="paragraph">
            <wp:posOffset>-417830</wp:posOffset>
          </wp:positionV>
          <wp:extent cx="914400" cy="24765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247650"/>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5068570</wp:posOffset>
          </wp:positionH>
          <wp:positionV relativeFrom="paragraph">
            <wp:posOffset>-105410</wp:posOffset>
          </wp:positionV>
          <wp:extent cx="1066800" cy="219075"/>
          <wp:effectExtent l="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66800" cy="219075"/>
                  </a:xfrm>
                  <a:prstGeom prst="rect">
                    <a:avLst/>
                  </a:prstGeom>
                  <a:noFill/>
                  <a:ln w="9525">
                    <a:noFill/>
                    <a:miter lim="800000"/>
                    <a:headEnd/>
                    <a:tailEnd/>
                  </a:ln>
                </pic:spPr>
              </pic:pic>
            </a:graphicData>
          </a:graphic>
        </wp:anchor>
      </w:drawing>
    </w:r>
    <w:r>
      <w:rPr>
        <w:noProof/>
      </w:rPr>
      <w:drawing>
        <wp:anchor distT="0" distB="0" distL="114300" distR="114300" simplePos="0" relativeHeight="251659776" behindDoc="0" locked="0" layoutInCell="1" allowOverlap="1">
          <wp:simplePos x="0" y="0"/>
          <wp:positionH relativeFrom="column">
            <wp:posOffset>3064510</wp:posOffset>
          </wp:positionH>
          <wp:positionV relativeFrom="paragraph">
            <wp:posOffset>-327025</wp:posOffset>
          </wp:positionV>
          <wp:extent cx="1590675" cy="333375"/>
          <wp:effectExtent l="19050" t="0" r="9525" b="0"/>
          <wp:wrapSquare wrapText="bothSides"/>
          <wp:docPr id="4" name="Picture 9" descr="C:\Users\Korisnik\Desktop\Tredea logo Final 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orisnik\Desktop\Tredea logo Final Cir.jpg"/>
                  <pic:cNvPicPr>
                    <a:picLocks noChangeAspect="1" noChangeArrowheads="1"/>
                  </pic:cNvPicPr>
                </pic:nvPicPr>
                <pic:blipFill>
                  <a:blip r:embed="rId3"/>
                  <a:srcRect/>
                  <a:stretch>
                    <a:fillRect/>
                  </a:stretch>
                </pic:blipFill>
                <pic:spPr bwMode="auto">
                  <a:xfrm>
                    <a:off x="0" y="0"/>
                    <a:ext cx="1590675"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column">
            <wp:posOffset>2422525</wp:posOffset>
          </wp:positionH>
          <wp:positionV relativeFrom="paragraph">
            <wp:posOffset>-506095</wp:posOffset>
          </wp:positionV>
          <wp:extent cx="304800" cy="628650"/>
          <wp:effectExtent l="19050" t="0" r="0" b="0"/>
          <wp:wrapSquare wrapText="bothSides"/>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304800" cy="62865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844550</wp:posOffset>
          </wp:positionH>
          <wp:positionV relativeFrom="paragraph">
            <wp:posOffset>-422275</wp:posOffset>
          </wp:positionV>
          <wp:extent cx="1343025" cy="485775"/>
          <wp:effectExtent l="19050" t="0" r="952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1343025" cy="485775"/>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-682625</wp:posOffset>
          </wp:positionH>
          <wp:positionV relativeFrom="paragraph">
            <wp:posOffset>-490220</wp:posOffset>
          </wp:positionV>
          <wp:extent cx="1668145" cy="695325"/>
          <wp:effectExtent l="19050" t="0" r="8255"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1668145" cy="6953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1028" w:rsidRDefault="00241028" w:rsidP="00187DE1">
      <w:pPr>
        <w:spacing w:after="0" w:line="240" w:lineRule="auto"/>
      </w:pPr>
      <w:r>
        <w:separator/>
      </w:r>
    </w:p>
  </w:footnote>
  <w:footnote w:type="continuationSeparator" w:id="1">
    <w:p w:rsidR="00241028" w:rsidRDefault="00241028" w:rsidP="00187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D3F" w:rsidRDefault="00443745" w:rsidP="00443745">
    <w:pPr>
      <w:pStyle w:val="Header"/>
      <w:tabs>
        <w:tab w:val="clear" w:pos="4680"/>
        <w:tab w:val="clear" w:pos="9360"/>
        <w:tab w:val="left" w:pos="807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730" w:rsidRDefault="006E0B46">
    <w:pPr>
      <w:pStyle w:val="Header"/>
    </w:pPr>
    <w:r>
      <w:rPr>
        <w:noProof/>
        <w:bdr w:val="none" w:sz="0" w:space="0" w:color="auto"/>
        <w:lang w:val="sr-Latn-BA" w:eastAsia="sr-Latn-BA"/>
      </w:rPr>
      <w:drawing>
        <wp:anchor distT="0" distB="0" distL="114300" distR="114300" simplePos="0" relativeHeight="251655680" behindDoc="1" locked="0" layoutInCell="1" allowOverlap="1">
          <wp:simplePos x="0" y="0"/>
          <wp:positionH relativeFrom="column">
            <wp:posOffset>4883785</wp:posOffset>
          </wp:positionH>
          <wp:positionV relativeFrom="paragraph">
            <wp:posOffset>-7620</wp:posOffset>
          </wp:positionV>
          <wp:extent cx="1444625" cy="555625"/>
          <wp:effectExtent l="19050" t="0" r="3175" b="0"/>
          <wp:wrapNone/>
          <wp:docPr id="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srcRect/>
                  <a:stretch>
                    <a:fillRect/>
                  </a:stretch>
                </pic:blipFill>
                <pic:spPr bwMode="auto">
                  <a:xfrm>
                    <a:off x="0" y="0"/>
                    <a:ext cx="1444625" cy="555625"/>
                  </a:xfrm>
                  <a:prstGeom prst="rect">
                    <a:avLst/>
                  </a:prstGeom>
                  <a:noFill/>
                  <a:ln w="9525">
                    <a:noFill/>
                    <a:miter lim="800000"/>
                    <a:headEnd/>
                    <a:tailEnd/>
                  </a:ln>
                </pic:spPr>
              </pic:pic>
            </a:graphicData>
          </a:graphic>
        </wp:anchor>
      </w:drawing>
    </w:r>
    <w:r>
      <w:rPr>
        <w:noProof/>
        <w:bdr w:val="none" w:sz="0" w:space="0" w:color="auto"/>
        <w:lang w:val="sr-Latn-BA" w:eastAsia="sr-Latn-BA"/>
      </w:rPr>
      <w:drawing>
        <wp:anchor distT="0" distB="0" distL="114300" distR="114300" simplePos="0" relativeHeight="251654656" behindDoc="1" locked="0" layoutInCell="1" allowOverlap="1">
          <wp:simplePos x="0" y="0"/>
          <wp:positionH relativeFrom="margin">
            <wp:align>center</wp:align>
          </wp:positionH>
          <wp:positionV relativeFrom="paragraph">
            <wp:posOffset>-141605</wp:posOffset>
          </wp:positionV>
          <wp:extent cx="942975" cy="942975"/>
          <wp:effectExtent l="19050" t="0" r="9525" b="0"/>
          <wp:wrapNone/>
          <wp:docPr id="8"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2"/>
                  <a:srcRect/>
                  <a:stretch>
                    <a:fillRect/>
                  </a:stretch>
                </pic:blipFill>
                <pic:spPr bwMode="auto">
                  <a:xfrm>
                    <a:off x="0" y="0"/>
                    <a:ext cx="942975" cy="942975"/>
                  </a:xfrm>
                  <a:prstGeom prst="rect">
                    <a:avLst/>
                  </a:prstGeom>
                  <a:noFill/>
                  <a:ln w="9525">
                    <a:noFill/>
                    <a:miter lim="800000"/>
                    <a:headEnd/>
                    <a:tailEnd/>
                  </a:ln>
                </pic:spPr>
              </pic:pic>
            </a:graphicData>
          </a:graphic>
        </wp:anchor>
      </w:drawing>
    </w:r>
    <w:r>
      <w:rPr>
        <w:noProof/>
        <w:bdr w:val="none" w:sz="0" w:space="0" w:color="auto"/>
        <w:lang w:val="sr-Latn-BA" w:eastAsia="sr-Latn-BA"/>
      </w:rPr>
      <w:drawing>
        <wp:anchor distT="0" distB="0" distL="114300" distR="114300" simplePos="0" relativeHeight="251653632" behindDoc="1" locked="0" layoutInCell="1" allowOverlap="1">
          <wp:simplePos x="0" y="0"/>
          <wp:positionH relativeFrom="column">
            <wp:posOffset>-572135</wp:posOffset>
          </wp:positionH>
          <wp:positionV relativeFrom="paragraph">
            <wp:posOffset>-127000</wp:posOffset>
          </wp:positionV>
          <wp:extent cx="2219960" cy="885825"/>
          <wp:effectExtent l="19050" t="0" r="8890" b="0"/>
          <wp:wrapNone/>
          <wp:docPr id="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
                  <a:srcRect/>
                  <a:stretch>
                    <a:fillRect/>
                  </a:stretch>
                </pic:blipFill>
                <pic:spPr bwMode="auto">
                  <a:xfrm>
                    <a:off x="0" y="0"/>
                    <a:ext cx="2219960" cy="88582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9057C"/>
    <w:multiLevelType w:val="hybridMultilevel"/>
    <w:tmpl w:val="AA92147C"/>
    <w:lvl w:ilvl="0" w:tplc="0128C99A">
      <w:numFmt w:val="bullet"/>
      <w:lvlText w:val="-"/>
      <w:lvlJc w:val="left"/>
      <w:pPr>
        <w:ind w:left="-66" w:hanging="360"/>
      </w:pPr>
      <w:rPr>
        <w:rFonts w:ascii="Arial" w:eastAsia="Calibri" w:hAnsi="Arial" w:cs="Aria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
    <w:nsid w:val="1F7501AD"/>
    <w:multiLevelType w:val="hybridMultilevel"/>
    <w:tmpl w:val="AA086FA4"/>
    <w:lvl w:ilvl="0" w:tplc="181A000F">
      <w:start w:val="1"/>
      <w:numFmt w:val="decimal"/>
      <w:lvlText w:val="%1."/>
      <w:lvlJc w:val="left"/>
      <w:pPr>
        <w:ind w:left="720" w:hanging="360"/>
      </w:pPr>
      <w:rPr>
        <w:rFonts w:hint="default"/>
      </w:rPr>
    </w:lvl>
    <w:lvl w:ilvl="1" w:tplc="181A0019">
      <w:start w:val="1"/>
      <w:numFmt w:val="lowerLetter"/>
      <w:lvlText w:val="%2."/>
      <w:lvlJc w:val="left"/>
      <w:pPr>
        <w:ind w:left="1440" w:hanging="360"/>
      </w:pPr>
    </w:lvl>
    <w:lvl w:ilvl="2" w:tplc="0256D8E2">
      <w:start w:val="1"/>
      <w:numFmt w:val="decimal"/>
      <w:lvlText w:val="%3."/>
      <w:lvlJc w:val="right"/>
      <w:pPr>
        <w:ind w:left="2160" w:hanging="180"/>
      </w:pPr>
      <w:rPr>
        <w:rFonts w:ascii="Cambria" w:eastAsia="Cambria" w:hAnsi="Cambria" w:cs="Cambria"/>
      </w:r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nsid w:val="23D13595"/>
    <w:multiLevelType w:val="hybridMultilevel"/>
    <w:tmpl w:val="75362E52"/>
    <w:lvl w:ilvl="0" w:tplc="181A000F">
      <w:start w:val="1"/>
      <w:numFmt w:val="decimal"/>
      <w:lvlText w:val="%1."/>
      <w:lvlJc w:val="left"/>
      <w:pPr>
        <w:ind w:left="720" w:hanging="360"/>
      </w:pPr>
      <w:rPr>
        <w:rFonts w:hint="default"/>
      </w:rPr>
    </w:lvl>
    <w:lvl w:ilvl="1" w:tplc="181A0019">
      <w:start w:val="1"/>
      <w:numFmt w:val="lowerLetter"/>
      <w:lvlText w:val="%2."/>
      <w:lvlJc w:val="left"/>
      <w:pPr>
        <w:ind w:left="1440" w:hanging="360"/>
      </w:pPr>
    </w:lvl>
    <w:lvl w:ilvl="2" w:tplc="0256D8E2">
      <w:start w:val="1"/>
      <w:numFmt w:val="decimal"/>
      <w:lvlText w:val="%3."/>
      <w:lvlJc w:val="right"/>
      <w:pPr>
        <w:ind w:left="2160" w:hanging="180"/>
      </w:pPr>
      <w:rPr>
        <w:rFonts w:ascii="Cambria" w:eastAsia="Cambria" w:hAnsi="Cambria" w:cs="Cambria"/>
      </w:r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3">
    <w:nsid w:val="288646AB"/>
    <w:multiLevelType w:val="hybridMultilevel"/>
    <w:tmpl w:val="9F7A74F0"/>
    <w:lvl w:ilvl="0" w:tplc="B71AD878">
      <w:start w:val="1"/>
      <w:numFmt w:val="lowerLetter"/>
      <w:lvlText w:val="%1."/>
      <w:lvlJc w:val="left"/>
      <w:pPr>
        <w:ind w:left="938" w:hanging="348"/>
      </w:pPr>
      <w:rPr>
        <w:rFonts w:ascii="Cambria" w:eastAsia="Cambria" w:hAnsi="Cambria" w:cs="Cambria" w:hint="default"/>
        <w:b w:val="0"/>
        <w:bCs w:val="0"/>
        <w:i w:val="0"/>
        <w:iCs w:val="0"/>
        <w:w w:val="100"/>
        <w:sz w:val="24"/>
        <w:szCs w:val="24"/>
        <w:lang w:val="hr-HR" w:eastAsia="en-US" w:bidi="ar-SA"/>
      </w:rPr>
    </w:lvl>
    <w:lvl w:ilvl="1" w:tplc="10062E70">
      <w:numFmt w:val="bullet"/>
      <w:lvlText w:val="•"/>
      <w:lvlJc w:val="left"/>
      <w:pPr>
        <w:ind w:left="1856" w:hanging="348"/>
      </w:pPr>
      <w:rPr>
        <w:rFonts w:hint="default"/>
        <w:lang w:val="hr-HR" w:eastAsia="en-US" w:bidi="ar-SA"/>
      </w:rPr>
    </w:lvl>
    <w:lvl w:ilvl="2" w:tplc="0E0C5BB4">
      <w:numFmt w:val="bullet"/>
      <w:lvlText w:val="•"/>
      <w:lvlJc w:val="left"/>
      <w:pPr>
        <w:ind w:left="2773" w:hanging="348"/>
      </w:pPr>
      <w:rPr>
        <w:rFonts w:hint="default"/>
        <w:lang w:val="hr-HR" w:eastAsia="en-US" w:bidi="ar-SA"/>
      </w:rPr>
    </w:lvl>
    <w:lvl w:ilvl="3" w:tplc="9CBED5EE">
      <w:numFmt w:val="bullet"/>
      <w:lvlText w:val="•"/>
      <w:lvlJc w:val="left"/>
      <w:pPr>
        <w:ind w:left="3689" w:hanging="348"/>
      </w:pPr>
      <w:rPr>
        <w:rFonts w:hint="default"/>
        <w:lang w:val="hr-HR" w:eastAsia="en-US" w:bidi="ar-SA"/>
      </w:rPr>
    </w:lvl>
    <w:lvl w:ilvl="4" w:tplc="CD024CCE">
      <w:numFmt w:val="bullet"/>
      <w:lvlText w:val="•"/>
      <w:lvlJc w:val="left"/>
      <w:pPr>
        <w:ind w:left="4606" w:hanging="348"/>
      </w:pPr>
      <w:rPr>
        <w:rFonts w:hint="default"/>
        <w:lang w:val="hr-HR" w:eastAsia="en-US" w:bidi="ar-SA"/>
      </w:rPr>
    </w:lvl>
    <w:lvl w:ilvl="5" w:tplc="E0FCD3A8">
      <w:numFmt w:val="bullet"/>
      <w:lvlText w:val="•"/>
      <w:lvlJc w:val="left"/>
      <w:pPr>
        <w:ind w:left="5523" w:hanging="348"/>
      </w:pPr>
      <w:rPr>
        <w:rFonts w:hint="default"/>
        <w:lang w:val="hr-HR" w:eastAsia="en-US" w:bidi="ar-SA"/>
      </w:rPr>
    </w:lvl>
    <w:lvl w:ilvl="6" w:tplc="8690ADBE">
      <w:numFmt w:val="bullet"/>
      <w:lvlText w:val="•"/>
      <w:lvlJc w:val="left"/>
      <w:pPr>
        <w:ind w:left="6439" w:hanging="348"/>
      </w:pPr>
      <w:rPr>
        <w:rFonts w:hint="default"/>
        <w:lang w:val="hr-HR" w:eastAsia="en-US" w:bidi="ar-SA"/>
      </w:rPr>
    </w:lvl>
    <w:lvl w:ilvl="7" w:tplc="C090032E">
      <w:numFmt w:val="bullet"/>
      <w:lvlText w:val="•"/>
      <w:lvlJc w:val="left"/>
      <w:pPr>
        <w:ind w:left="7356" w:hanging="348"/>
      </w:pPr>
      <w:rPr>
        <w:rFonts w:hint="default"/>
        <w:lang w:val="hr-HR" w:eastAsia="en-US" w:bidi="ar-SA"/>
      </w:rPr>
    </w:lvl>
    <w:lvl w:ilvl="8" w:tplc="4948E702">
      <w:numFmt w:val="bullet"/>
      <w:lvlText w:val="•"/>
      <w:lvlJc w:val="left"/>
      <w:pPr>
        <w:ind w:left="8273" w:hanging="348"/>
      </w:pPr>
      <w:rPr>
        <w:rFonts w:hint="default"/>
        <w:lang w:val="hr-HR" w:eastAsia="en-US" w:bidi="ar-SA"/>
      </w:rPr>
    </w:lvl>
  </w:abstractNum>
  <w:abstractNum w:abstractNumId="4">
    <w:nsid w:val="34BF3D20"/>
    <w:multiLevelType w:val="hybridMultilevel"/>
    <w:tmpl w:val="D1D202E4"/>
    <w:lvl w:ilvl="0" w:tplc="5688083A">
      <w:start w:val="1"/>
      <w:numFmt w:val="decimal"/>
      <w:lvlText w:val="%1."/>
      <w:lvlJc w:val="left"/>
      <w:pPr>
        <w:ind w:left="926" w:hanging="348"/>
      </w:pPr>
      <w:rPr>
        <w:rFonts w:ascii="Cambria" w:eastAsia="Cambria" w:hAnsi="Cambria" w:cs="Cambria" w:hint="default"/>
        <w:b w:val="0"/>
        <w:bCs w:val="0"/>
        <w:i w:val="0"/>
        <w:iCs w:val="0"/>
        <w:spacing w:val="-1"/>
        <w:w w:val="100"/>
        <w:sz w:val="22"/>
        <w:szCs w:val="24"/>
        <w:lang w:val="hr-HR" w:eastAsia="en-US" w:bidi="ar-SA"/>
      </w:rPr>
    </w:lvl>
    <w:lvl w:ilvl="1" w:tplc="4958311E">
      <w:numFmt w:val="bullet"/>
      <w:lvlText w:val="•"/>
      <w:lvlJc w:val="left"/>
      <w:pPr>
        <w:ind w:left="1838" w:hanging="348"/>
      </w:pPr>
      <w:rPr>
        <w:rFonts w:hint="default"/>
        <w:lang w:val="hr-HR" w:eastAsia="en-US" w:bidi="ar-SA"/>
      </w:rPr>
    </w:lvl>
    <w:lvl w:ilvl="2" w:tplc="D32CCC5E">
      <w:numFmt w:val="bullet"/>
      <w:lvlText w:val="•"/>
      <w:lvlJc w:val="left"/>
      <w:pPr>
        <w:ind w:left="2757" w:hanging="348"/>
      </w:pPr>
      <w:rPr>
        <w:rFonts w:hint="default"/>
        <w:lang w:val="hr-HR" w:eastAsia="en-US" w:bidi="ar-SA"/>
      </w:rPr>
    </w:lvl>
    <w:lvl w:ilvl="3" w:tplc="CC985F32">
      <w:numFmt w:val="bullet"/>
      <w:lvlText w:val="•"/>
      <w:lvlJc w:val="left"/>
      <w:pPr>
        <w:ind w:left="3675" w:hanging="348"/>
      </w:pPr>
      <w:rPr>
        <w:rFonts w:hint="default"/>
        <w:lang w:val="hr-HR" w:eastAsia="en-US" w:bidi="ar-SA"/>
      </w:rPr>
    </w:lvl>
    <w:lvl w:ilvl="4" w:tplc="79040DF2">
      <w:numFmt w:val="bullet"/>
      <w:lvlText w:val="•"/>
      <w:lvlJc w:val="left"/>
      <w:pPr>
        <w:ind w:left="4594" w:hanging="348"/>
      </w:pPr>
      <w:rPr>
        <w:rFonts w:hint="default"/>
        <w:lang w:val="hr-HR" w:eastAsia="en-US" w:bidi="ar-SA"/>
      </w:rPr>
    </w:lvl>
    <w:lvl w:ilvl="5" w:tplc="4510FFE6">
      <w:numFmt w:val="bullet"/>
      <w:lvlText w:val="•"/>
      <w:lvlJc w:val="left"/>
      <w:pPr>
        <w:ind w:left="5513" w:hanging="348"/>
      </w:pPr>
      <w:rPr>
        <w:rFonts w:hint="default"/>
        <w:lang w:val="hr-HR" w:eastAsia="en-US" w:bidi="ar-SA"/>
      </w:rPr>
    </w:lvl>
    <w:lvl w:ilvl="6" w:tplc="D2D28182">
      <w:numFmt w:val="bullet"/>
      <w:lvlText w:val="•"/>
      <w:lvlJc w:val="left"/>
      <w:pPr>
        <w:ind w:left="6431" w:hanging="348"/>
      </w:pPr>
      <w:rPr>
        <w:rFonts w:hint="default"/>
        <w:lang w:val="hr-HR" w:eastAsia="en-US" w:bidi="ar-SA"/>
      </w:rPr>
    </w:lvl>
    <w:lvl w:ilvl="7" w:tplc="FF24A824">
      <w:numFmt w:val="bullet"/>
      <w:lvlText w:val="•"/>
      <w:lvlJc w:val="left"/>
      <w:pPr>
        <w:ind w:left="7350" w:hanging="348"/>
      </w:pPr>
      <w:rPr>
        <w:rFonts w:hint="default"/>
        <w:lang w:val="hr-HR" w:eastAsia="en-US" w:bidi="ar-SA"/>
      </w:rPr>
    </w:lvl>
    <w:lvl w:ilvl="8" w:tplc="DB5042BA">
      <w:numFmt w:val="bullet"/>
      <w:lvlText w:val="•"/>
      <w:lvlJc w:val="left"/>
      <w:pPr>
        <w:ind w:left="8269" w:hanging="348"/>
      </w:pPr>
      <w:rPr>
        <w:rFonts w:hint="default"/>
        <w:lang w:val="hr-HR" w:eastAsia="en-US" w:bidi="ar-SA"/>
      </w:rPr>
    </w:lvl>
  </w:abstractNum>
  <w:abstractNum w:abstractNumId="5">
    <w:nsid w:val="50161195"/>
    <w:multiLevelType w:val="hybridMultilevel"/>
    <w:tmpl w:val="4CC45FCA"/>
    <w:lvl w:ilvl="0" w:tplc="271E11FE">
      <w:start w:val="1"/>
      <w:numFmt w:val="decimal"/>
      <w:lvlText w:val="%1."/>
      <w:lvlJc w:val="left"/>
      <w:pPr>
        <w:ind w:left="578" w:hanging="360"/>
      </w:pPr>
      <w:rPr>
        <w:rFonts w:ascii="Cambria" w:eastAsia="Cambria" w:hAnsi="Cambria" w:cs="Cambria" w:hint="default"/>
        <w:b/>
        <w:bCs/>
        <w:i w:val="0"/>
        <w:iCs w:val="0"/>
        <w:spacing w:val="-1"/>
        <w:w w:val="100"/>
        <w:sz w:val="28"/>
        <w:szCs w:val="28"/>
        <w:lang w:val="hr-HR" w:eastAsia="en-US" w:bidi="ar-SA"/>
      </w:rPr>
    </w:lvl>
    <w:lvl w:ilvl="1" w:tplc="8D3227CC">
      <w:numFmt w:val="none"/>
      <w:lvlText w:val=""/>
      <w:lvlJc w:val="left"/>
      <w:pPr>
        <w:tabs>
          <w:tab w:val="num" w:pos="360"/>
        </w:tabs>
      </w:pPr>
    </w:lvl>
    <w:lvl w:ilvl="2" w:tplc="107CE1E8">
      <w:numFmt w:val="bullet"/>
      <w:lvlText w:val=""/>
      <w:lvlJc w:val="left"/>
      <w:pPr>
        <w:ind w:left="938" w:hanging="432"/>
      </w:pPr>
      <w:rPr>
        <w:rFonts w:ascii="Wingdings" w:eastAsia="Wingdings" w:hAnsi="Wingdings" w:cs="Wingdings" w:hint="default"/>
        <w:b w:val="0"/>
        <w:bCs w:val="0"/>
        <w:i w:val="0"/>
        <w:iCs w:val="0"/>
        <w:w w:val="100"/>
        <w:sz w:val="24"/>
        <w:szCs w:val="24"/>
        <w:lang w:val="hr-HR" w:eastAsia="en-US" w:bidi="ar-SA"/>
      </w:rPr>
    </w:lvl>
    <w:lvl w:ilvl="3" w:tplc="018A6610">
      <w:numFmt w:val="bullet"/>
      <w:lvlText w:val="•"/>
      <w:lvlJc w:val="left"/>
      <w:pPr>
        <w:ind w:left="2155" w:hanging="432"/>
      </w:pPr>
      <w:rPr>
        <w:rFonts w:hint="default"/>
        <w:lang w:val="hr-HR" w:eastAsia="en-US" w:bidi="ar-SA"/>
      </w:rPr>
    </w:lvl>
    <w:lvl w:ilvl="4" w:tplc="DAC8E0FC">
      <w:numFmt w:val="bullet"/>
      <w:lvlText w:val="•"/>
      <w:lvlJc w:val="left"/>
      <w:pPr>
        <w:ind w:left="3291" w:hanging="432"/>
      </w:pPr>
      <w:rPr>
        <w:rFonts w:hint="default"/>
        <w:lang w:val="hr-HR" w:eastAsia="en-US" w:bidi="ar-SA"/>
      </w:rPr>
    </w:lvl>
    <w:lvl w:ilvl="5" w:tplc="E38ABFF0">
      <w:numFmt w:val="bullet"/>
      <w:lvlText w:val="•"/>
      <w:lvlJc w:val="left"/>
      <w:pPr>
        <w:ind w:left="4427" w:hanging="432"/>
      </w:pPr>
      <w:rPr>
        <w:rFonts w:hint="default"/>
        <w:lang w:val="hr-HR" w:eastAsia="en-US" w:bidi="ar-SA"/>
      </w:rPr>
    </w:lvl>
    <w:lvl w:ilvl="6" w:tplc="CC28987E">
      <w:numFmt w:val="bullet"/>
      <w:lvlText w:val="•"/>
      <w:lvlJc w:val="left"/>
      <w:pPr>
        <w:ind w:left="5563" w:hanging="432"/>
      </w:pPr>
      <w:rPr>
        <w:rFonts w:hint="default"/>
        <w:lang w:val="hr-HR" w:eastAsia="en-US" w:bidi="ar-SA"/>
      </w:rPr>
    </w:lvl>
    <w:lvl w:ilvl="7" w:tplc="984E76EE">
      <w:numFmt w:val="bullet"/>
      <w:lvlText w:val="•"/>
      <w:lvlJc w:val="left"/>
      <w:pPr>
        <w:ind w:left="6699" w:hanging="432"/>
      </w:pPr>
      <w:rPr>
        <w:rFonts w:hint="default"/>
        <w:lang w:val="hr-HR" w:eastAsia="en-US" w:bidi="ar-SA"/>
      </w:rPr>
    </w:lvl>
    <w:lvl w:ilvl="8" w:tplc="051C506E">
      <w:numFmt w:val="bullet"/>
      <w:lvlText w:val="•"/>
      <w:lvlJc w:val="left"/>
      <w:pPr>
        <w:ind w:left="7834" w:hanging="432"/>
      </w:pPr>
      <w:rPr>
        <w:rFonts w:hint="default"/>
        <w:lang w:val="hr-HR" w:eastAsia="en-US" w:bidi="ar-SA"/>
      </w:rPr>
    </w:lvl>
  </w:abstractNum>
  <w:abstractNum w:abstractNumId="6">
    <w:nsid w:val="680C5CA6"/>
    <w:multiLevelType w:val="hybridMultilevel"/>
    <w:tmpl w:val="B232CC12"/>
    <w:lvl w:ilvl="0" w:tplc="6CDA5E86">
      <w:start w:val="1"/>
      <w:numFmt w:val="decimal"/>
      <w:lvlText w:val="%1."/>
      <w:lvlJc w:val="left"/>
      <w:pPr>
        <w:ind w:left="578" w:hanging="360"/>
      </w:pPr>
      <w:rPr>
        <w:rFonts w:hint="default"/>
        <w:b/>
      </w:rPr>
    </w:lvl>
    <w:lvl w:ilvl="1" w:tplc="181A0019" w:tentative="1">
      <w:start w:val="1"/>
      <w:numFmt w:val="lowerLetter"/>
      <w:lvlText w:val="%2."/>
      <w:lvlJc w:val="left"/>
      <w:pPr>
        <w:ind w:left="1298" w:hanging="360"/>
      </w:pPr>
    </w:lvl>
    <w:lvl w:ilvl="2" w:tplc="181A001B" w:tentative="1">
      <w:start w:val="1"/>
      <w:numFmt w:val="lowerRoman"/>
      <w:lvlText w:val="%3."/>
      <w:lvlJc w:val="right"/>
      <w:pPr>
        <w:ind w:left="2018" w:hanging="180"/>
      </w:pPr>
    </w:lvl>
    <w:lvl w:ilvl="3" w:tplc="181A000F" w:tentative="1">
      <w:start w:val="1"/>
      <w:numFmt w:val="decimal"/>
      <w:lvlText w:val="%4."/>
      <w:lvlJc w:val="left"/>
      <w:pPr>
        <w:ind w:left="2738" w:hanging="360"/>
      </w:pPr>
    </w:lvl>
    <w:lvl w:ilvl="4" w:tplc="181A0019" w:tentative="1">
      <w:start w:val="1"/>
      <w:numFmt w:val="lowerLetter"/>
      <w:lvlText w:val="%5."/>
      <w:lvlJc w:val="left"/>
      <w:pPr>
        <w:ind w:left="3458" w:hanging="360"/>
      </w:pPr>
    </w:lvl>
    <w:lvl w:ilvl="5" w:tplc="181A001B" w:tentative="1">
      <w:start w:val="1"/>
      <w:numFmt w:val="lowerRoman"/>
      <w:lvlText w:val="%6."/>
      <w:lvlJc w:val="right"/>
      <w:pPr>
        <w:ind w:left="4178" w:hanging="180"/>
      </w:pPr>
    </w:lvl>
    <w:lvl w:ilvl="6" w:tplc="181A000F" w:tentative="1">
      <w:start w:val="1"/>
      <w:numFmt w:val="decimal"/>
      <w:lvlText w:val="%7."/>
      <w:lvlJc w:val="left"/>
      <w:pPr>
        <w:ind w:left="4898" w:hanging="360"/>
      </w:pPr>
    </w:lvl>
    <w:lvl w:ilvl="7" w:tplc="181A0019" w:tentative="1">
      <w:start w:val="1"/>
      <w:numFmt w:val="lowerLetter"/>
      <w:lvlText w:val="%8."/>
      <w:lvlJc w:val="left"/>
      <w:pPr>
        <w:ind w:left="5618" w:hanging="360"/>
      </w:pPr>
    </w:lvl>
    <w:lvl w:ilvl="8" w:tplc="181A001B" w:tentative="1">
      <w:start w:val="1"/>
      <w:numFmt w:val="lowerRoman"/>
      <w:lvlText w:val="%9."/>
      <w:lvlJc w:val="right"/>
      <w:pPr>
        <w:ind w:left="6338"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ttachedTemplate r:id="rId1"/>
  <w:defaultTabStop w:val="708"/>
  <w:hyphenationZone w:val="425"/>
  <w:characterSpacingControl w:val="doNotCompress"/>
  <w:hdrShapeDefaults>
    <o:shapedefaults v:ext="edit" spidmax="11266"/>
  </w:hdrShapeDefaults>
  <w:footnotePr>
    <w:footnote w:id="0"/>
    <w:footnote w:id="1"/>
  </w:footnotePr>
  <w:endnotePr>
    <w:endnote w:id="0"/>
    <w:endnote w:id="1"/>
  </w:endnotePr>
  <w:compat/>
  <w:docVars>
    <w:docVar w:name="LW_DocType" w:val="KONFERENCIJA RETRAIL_POZIV ZA MEDIJE 2003"/>
  </w:docVars>
  <w:rsids>
    <w:rsidRoot w:val="00ED2EAE"/>
    <w:rsid w:val="00011296"/>
    <w:rsid w:val="000C460C"/>
    <w:rsid w:val="00104136"/>
    <w:rsid w:val="00164AFD"/>
    <w:rsid w:val="00187DE1"/>
    <w:rsid w:val="001E0730"/>
    <w:rsid w:val="002210D8"/>
    <w:rsid w:val="00221824"/>
    <w:rsid w:val="00241028"/>
    <w:rsid w:val="0025248F"/>
    <w:rsid w:val="002871F1"/>
    <w:rsid w:val="002A55BA"/>
    <w:rsid w:val="002C0E88"/>
    <w:rsid w:val="002E6504"/>
    <w:rsid w:val="002E7C41"/>
    <w:rsid w:val="003009AD"/>
    <w:rsid w:val="00306ED1"/>
    <w:rsid w:val="0032741C"/>
    <w:rsid w:val="003373E5"/>
    <w:rsid w:val="003423D2"/>
    <w:rsid w:val="003D5583"/>
    <w:rsid w:val="00400E75"/>
    <w:rsid w:val="00443745"/>
    <w:rsid w:val="004651B4"/>
    <w:rsid w:val="004A42CF"/>
    <w:rsid w:val="004A7D3F"/>
    <w:rsid w:val="004D6B40"/>
    <w:rsid w:val="004E10E8"/>
    <w:rsid w:val="004E7243"/>
    <w:rsid w:val="00514FA6"/>
    <w:rsid w:val="0055147F"/>
    <w:rsid w:val="00566648"/>
    <w:rsid w:val="005D2974"/>
    <w:rsid w:val="005E7572"/>
    <w:rsid w:val="005F1CAE"/>
    <w:rsid w:val="005F37A9"/>
    <w:rsid w:val="00607654"/>
    <w:rsid w:val="006251A2"/>
    <w:rsid w:val="0069564B"/>
    <w:rsid w:val="006E0B46"/>
    <w:rsid w:val="006E1073"/>
    <w:rsid w:val="00721F75"/>
    <w:rsid w:val="00731A55"/>
    <w:rsid w:val="00737C40"/>
    <w:rsid w:val="0077289F"/>
    <w:rsid w:val="00786971"/>
    <w:rsid w:val="007D5D0A"/>
    <w:rsid w:val="00836978"/>
    <w:rsid w:val="008414FB"/>
    <w:rsid w:val="008A3E9A"/>
    <w:rsid w:val="008D722A"/>
    <w:rsid w:val="00923F04"/>
    <w:rsid w:val="00954AF8"/>
    <w:rsid w:val="00987A8F"/>
    <w:rsid w:val="00994455"/>
    <w:rsid w:val="009B73EF"/>
    <w:rsid w:val="009D6FA0"/>
    <w:rsid w:val="009E7338"/>
    <w:rsid w:val="009F256D"/>
    <w:rsid w:val="00A32630"/>
    <w:rsid w:val="00A36776"/>
    <w:rsid w:val="00A53458"/>
    <w:rsid w:val="00A71579"/>
    <w:rsid w:val="00AD185F"/>
    <w:rsid w:val="00B147C4"/>
    <w:rsid w:val="00B25ADB"/>
    <w:rsid w:val="00B41B1E"/>
    <w:rsid w:val="00B5383C"/>
    <w:rsid w:val="00BA19D9"/>
    <w:rsid w:val="00BC04C3"/>
    <w:rsid w:val="00BC7348"/>
    <w:rsid w:val="00C274D5"/>
    <w:rsid w:val="00C45FDE"/>
    <w:rsid w:val="00C73E53"/>
    <w:rsid w:val="00CB20A3"/>
    <w:rsid w:val="00CF51B3"/>
    <w:rsid w:val="00D02A7E"/>
    <w:rsid w:val="00D06545"/>
    <w:rsid w:val="00D46A28"/>
    <w:rsid w:val="00D47B55"/>
    <w:rsid w:val="00D927E6"/>
    <w:rsid w:val="00E00E21"/>
    <w:rsid w:val="00E02062"/>
    <w:rsid w:val="00E1253E"/>
    <w:rsid w:val="00E83BFE"/>
    <w:rsid w:val="00EB33CD"/>
    <w:rsid w:val="00ED2EAE"/>
    <w:rsid w:val="00EF1C3B"/>
    <w:rsid w:val="00F37C37"/>
    <w:rsid w:val="00F629B0"/>
    <w:rsid w:val="00FA746A"/>
    <w:rsid w:val="00FB20A1"/>
    <w:rsid w:val="00FE29F2"/>
    <w:rsid w:val="00FF3F0F"/>
    <w:rsid w:val="00FF4B69"/>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64B"/>
    <w:pPr>
      <w:spacing w:after="200" w:line="276" w:lineRule="auto"/>
    </w:pPr>
    <w:rPr>
      <w:sz w:val="22"/>
      <w:szCs w:val="22"/>
    </w:rPr>
  </w:style>
  <w:style w:type="paragraph" w:styleId="Heading1">
    <w:name w:val="heading 1"/>
    <w:basedOn w:val="Normal"/>
    <w:link w:val="Heading1Char"/>
    <w:uiPriority w:val="1"/>
    <w:qFormat/>
    <w:rsid w:val="006251A2"/>
    <w:pPr>
      <w:widowControl w:val="0"/>
      <w:autoSpaceDE w:val="0"/>
      <w:autoSpaceDN w:val="0"/>
      <w:spacing w:before="360" w:after="240" w:line="240" w:lineRule="auto"/>
      <w:ind w:left="215"/>
      <w:jc w:val="both"/>
      <w:outlineLvl w:val="0"/>
    </w:pPr>
    <w:rPr>
      <w:rFonts w:ascii="Cambria" w:eastAsia="Cambria" w:hAnsi="Cambria" w:cs="Cambria"/>
      <w:b/>
      <w:bCs/>
      <w:sz w:val="26"/>
      <w:szCs w:val="28"/>
      <w:lang w:val="hr-HR" w:eastAsia="en-US"/>
    </w:rPr>
  </w:style>
  <w:style w:type="paragraph" w:styleId="Heading3">
    <w:name w:val="heading 3"/>
    <w:basedOn w:val="Normal"/>
    <w:link w:val="Heading3Char"/>
    <w:uiPriority w:val="1"/>
    <w:qFormat/>
    <w:rsid w:val="006251A2"/>
    <w:pPr>
      <w:widowControl w:val="0"/>
      <w:autoSpaceDE w:val="0"/>
      <w:autoSpaceDN w:val="0"/>
      <w:spacing w:before="240" w:after="120" w:line="240" w:lineRule="auto"/>
      <w:ind w:left="567"/>
      <w:jc w:val="both"/>
      <w:outlineLvl w:val="2"/>
    </w:pPr>
    <w:rPr>
      <w:rFonts w:ascii="Cambria" w:eastAsia="Cambria" w:hAnsi="Cambria" w:cs="Cambria"/>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187DE1"/>
    <w:pPr>
      <w:pBdr>
        <w:top w:val="nil"/>
        <w:left w:val="nil"/>
        <w:bottom w:val="nil"/>
        <w:right w:val="nil"/>
        <w:between w:val="nil"/>
        <w:bar w:val="nil"/>
      </w:pBdr>
      <w:tabs>
        <w:tab w:val="center" w:pos="4680"/>
        <w:tab w:val="right" w:pos="9360"/>
      </w:tabs>
    </w:pPr>
    <w:rPr>
      <w:rFonts w:eastAsia="Calibri" w:cs="Calibri"/>
      <w:color w:val="000000"/>
      <w:sz w:val="22"/>
      <w:szCs w:val="22"/>
      <w:u w:color="000000"/>
      <w:bdr w:val="nil"/>
      <w:lang w:val="en-US" w:eastAsia="mk-MK"/>
    </w:rPr>
  </w:style>
  <w:style w:type="character" w:customStyle="1" w:styleId="HeaderChar">
    <w:name w:val="Header Char"/>
    <w:link w:val="Header"/>
    <w:uiPriority w:val="99"/>
    <w:rsid w:val="00187DE1"/>
    <w:rPr>
      <w:rFonts w:ascii="Calibri" w:eastAsia="Calibri" w:hAnsi="Calibri" w:cs="Calibri"/>
      <w:color w:val="000000"/>
      <w:u w:color="000000"/>
      <w:bdr w:val="nil"/>
      <w:lang w:val="en-US" w:eastAsia="mk-MK"/>
    </w:rPr>
  </w:style>
  <w:style w:type="paragraph" w:styleId="Footer">
    <w:name w:val="footer"/>
    <w:basedOn w:val="Normal"/>
    <w:link w:val="FooterChar"/>
    <w:uiPriority w:val="99"/>
    <w:unhideWhenUsed/>
    <w:rsid w:val="00187DE1"/>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7DE1"/>
  </w:style>
  <w:style w:type="paragraph" w:styleId="BodyText">
    <w:name w:val="Body Text"/>
    <w:basedOn w:val="Normal"/>
    <w:link w:val="BodyTextChar"/>
    <w:uiPriority w:val="99"/>
    <w:semiHidden/>
    <w:unhideWhenUsed/>
    <w:rsid w:val="00187DE1"/>
    <w:pPr>
      <w:spacing w:after="0" w:line="240" w:lineRule="auto"/>
      <w:jc w:val="both"/>
    </w:pPr>
    <w:rPr>
      <w:rFonts w:ascii="Times New Roman" w:eastAsia="Calibri" w:hAnsi="Times New Roman"/>
      <w:i/>
      <w:iCs/>
      <w:sz w:val="24"/>
      <w:szCs w:val="24"/>
    </w:rPr>
  </w:style>
  <w:style w:type="character" w:customStyle="1" w:styleId="BodyTextChar">
    <w:name w:val="Body Text Char"/>
    <w:link w:val="BodyText"/>
    <w:uiPriority w:val="99"/>
    <w:semiHidden/>
    <w:rsid w:val="00187DE1"/>
    <w:rPr>
      <w:rFonts w:ascii="Times New Roman" w:eastAsia="Calibri" w:hAnsi="Times New Roman" w:cs="Times New Roman"/>
      <w:i/>
      <w:iCs/>
      <w:sz w:val="24"/>
      <w:szCs w:val="24"/>
    </w:rPr>
  </w:style>
  <w:style w:type="paragraph" w:styleId="NoSpacing">
    <w:name w:val="No Spacing"/>
    <w:uiPriority w:val="1"/>
    <w:qFormat/>
    <w:rsid w:val="00EF1C3B"/>
    <w:rPr>
      <w:sz w:val="22"/>
      <w:szCs w:val="22"/>
    </w:rPr>
  </w:style>
  <w:style w:type="paragraph" w:styleId="Revision">
    <w:name w:val="Revision"/>
    <w:hidden/>
    <w:uiPriority w:val="99"/>
    <w:semiHidden/>
    <w:rsid w:val="0055147F"/>
    <w:rPr>
      <w:sz w:val="22"/>
      <w:szCs w:val="22"/>
    </w:rPr>
  </w:style>
  <w:style w:type="character" w:styleId="Hyperlink">
    <w:name w:val="Hyperlink"/>
    <w:uiPriority w:val="99"/>
    <w:unhideWhenUsed/>
    <w:rsid w:val="00A32630"/>
    <w:rPr>
      <w:color w:val="0000FF"/>
      <w:u w:val="single"/>
    </w:rPr>
  </w:style>
  <w:style w:type="character" w:customStyle="1" w:styleId="UnresolvedMention1">
    <w:name w:val="Unresolved Mention1"/>
    <w:uiPriority w:val="99"/>
    <w:semiHidden/>
    <w:unhideWhenUsed/>
    <w:rsid w:val="00A32630"/>
    <w:rPr>
      <w:color w:val="605E5C"/>
      <w:shd w:val="clear" w:color="auto" w:fill="E1DFDD"/>
    </w:rPr>
  </w:style>
  <w:style w:type="paragraph" w:styleId="BalloonText">
    <w:name w:val="Balloon Text"/>
    <w:basedOn w:val="Normal"/>
    <w:link w:val="BalloonTextChar"/>
    <w:uiPriority w:val="99"/>
    <w:semiHidden/>
    <w:unhideWhenUsed/>
    <w:rsid w:val="0010413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04136"/>
    <w:rPr>
      <w:rFonts w:ascii="Segoe UI" w:hAnsi="Segoe UI" w:cs="Segoe UI"/>
      <w:sz w:val="18"/>
      <w:szCs w:val="18"/>
    </w:rPr>
  </w:style>
  <w:style w:type="character" w:customStyle="1" w:styleId="Heading1Char">
    <w:name w:val="Heading 1 Char"/>
    <w:basedOn w:val="DefaultParagraphFont"/>
    <w:link w:val="Heading1"/>
    <w:uiPriority w:val="1"/>
    <w:rsid w:val="006251A2"/>
    <w:rPr>
      <w:rFonts w:ascii="Cambria" w:eastAsia="Cambria" w:hAnsi="Cambria" w:cs="Cambria"/>
      <w:b/>
      <w:bCs/>
      <w:sz w:val="26"/>
      <w:szCs w:val="28"/>
      <w:lang w:val="hr-HR" w:eastAsia="en-US"/>
    </w:rPr>
  </w:style>
  <w:style w:type="character" w:customStyle="1" w:styleId="Heading3Char">
    <w:name w:val="Heading 3 Char"/>
    <w:basedOn w:val="DefaultParagraphFont"/>
    <w:link w:val="Heading3"/>
    <w:uiPriority w:val="1"/>
    <w:rsid w:val="006251A2"/>
    <w:rPr>
      <w:rFonts w:ascii="Cambria" w:eastAsia="Cambria" w:hAnsi="Cambria" w:cs="Cambria"/>
      <w:b/>
      <w:bCs/>
      <w:sz w:val="24"/>
      <w:szCs w:val="24"/>
      <w:lang w:eastAsia="en-US"/>
    </w:rPr>
  </w:style>
  <w:style w:type="paragraph" w:styleId="ListParagraph">
    <w:name w:val="List Paragraph"/>
    <w:basedOn w:val="Normal"/>
    <w:uiPriority w:val="34"/>
    <w:qFormat/>
    <w:rsid w:val="006251A2"/>
    <w:pPr>
      <w:widowControl w:val="0"/>
      <w:autoSpaceDE w:val="0"/>
      <w:autoSpaceDN w:val="0"/>
      <w:spacing w:after="120" w:line="240" w:lineRule="auto"/>
      <w:ind w:left="938" w:hanging="360"/>
      <w:jc w:val="both"/>
    </w:pPr>
    <w:rPr>
      <w:rFonts w:ascii="Cambria" w:eastAsia="Cambria" w:hAnsi="Cambria" w:cs="Cambria"/>
      <w:lang w:val="hr-HR" w:eastAsia="en-US"/>
    </w:rPr>
  </w:style>
</w:styles>
</file>

<file path=word/webSettings.xml><?xml version="1.0" encoding="utf-8"?>
<w:webSettings xmlns:r="http://schemas.openxmlformats.org/officeDocument/2006/relationships" xmlns:w="http://schemas.openxmlformats.org/wordprocessingml/2006/main">
  <w:divs>
    <w:div w:id="86606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jpeg"/><Relationship Id="rId6" Type="http://schemas.openxmlformats.org/officeDocument/2006/relationships/image" Target="media/image9.png"/><Relationship Id="rId5" Type="http://schemas.openxmlformats.org/officeDocument/2006/relationships/image" Target="media/image8.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ppData\Local\Microsoft\Windows\Temporary%20Internet%20Files\Content.Outlook\6UNK8GRG\Konferencija%20ReTRail_Poziv%20za%20medije%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Konferencija ReTRail_Poziv za medije 2003</Template>
  <TotalTime>37</TotalTime>
  <Pages>5</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I</cp:lastModifiedBy>
  <cp:revision>10</cp:revision>
  <dcterms:created xsi:type="dcterms:W3CDTF">2023-02-07T08:27:00Z</dcterms:created>
  <dcterms:modified xsi:type="dcterms:W3CDTF">2023-02-08T10:04:00Z</dcterms:modified>
</cp:coreProperties>
</file>